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7F40F" w14:textId="037DFF32" w:rsidR="00D70972" w:rsidRDefault="00444D72">
      <w:pPr>
        <w:rPr>
          <w:b/>
          <w:bCs/>
        </w:rPr>
      </w:pPr>
      <w:r w:rsidRPr="00444D72">
        <w:rPr>
          <w:b/>
          <w:bCs/>
        </w:rPr>
        <w:t>11/23 Event Abstract</w:t>
      </w:r>
    </w:p>
    <w:p w14:paraId="75F080AF" w14:textId="77777777" w:rsidR="00444D72" w:rsidRPr="00444D72" w:rsidRDefault="00444D72" w:rsidP="00444D72">
      <w:r w:rsidRPr="00444D72">
        <w:rPr>
          <w:b/>
          <w:bCs/>
        </w:rPr>
        <w:t>Overview</w:t>
      </w:r>
    </w:p>
    <w:p w14:paraId="2685A420" w14:textId="77777777" w:rsidR="00444D72" w:rsidRPr="00444D72" w:rsidRDefault="00444D72" w:rsidP="00444D72">
      <w:r w:rsidRPr="00444D72">
        <w:t>The 2026 TASLC Webinar Series – Patient Path 360: ONC Expert Forum for T-cell Engager will be held on Monday, November 23rd, 19:00–20:25. The forum brings together Taiwan thoracic oncology experts to examine how bispecific antibodies and T-cell engagers are reshaping immunotherapy strategy across lung cancer, from mechanism of action to practical use in the clinic.</w:t>
      </w:r>
    </w:p>
    <w:p w14:paraId="6FF61E7D" w14:textId="77777777" w:rsidR="00444D72" w:rsidRPr="00444D72" w:rsidRDefault="00444D72" w:rsidP="00444D72">
      <w:r w:rsidRPr="00444D72">
        <w:rPr>
          <w:b/>
          <w:bCs/>
        </w:rPr>
        <w:t>Session Highlights</w:t>
      </w:r>
    </w:p>
    <w:p w14:paraId="4FFC8A76" w14:textId="77777777" w:rsidR="00444D72" w:rsidRPr="00444D72" w:rsidRDefault="00444D72" w:rsidP="00444D72">
      <w:pPr>
        <w:numPr>
          <w:ilvl w:val="1"/>
          <w:numId w:val="1"/>
        </w:numPr>
      </w:pPr>
      <w:r w:rsidRPr="00444D72">
        <w:t>Redefining Cancer Immunotherapy with Bispecific Antibody: Current Paradigms and Novel Approaches (19:05–19:35) – This topic will review the biology and design of bispecific antibodies, the current immunotherapy paradigm, and emerging approaches that extend benefit beyond conventional checkpoint inhibition.</w:t>
      </w:r>
    </w:p>
    <w:p w14:paraId="26589DD2" w14:textId="77777777" w:rsidR="00444D72" w:rsidRPr="00444D72" w:rsidRDefault="00444D72" w:rsidP="00444D72">
      <w:pPr>
        <w:numPr>
          <w:ilvl w:val="1"/>
          <w:numId w:val="1"/>
        </w:numPr>
      </w:pPr>
      <w:r w:rsidRPr="00444D72">
        <w:t>Paradigm Shift in SCLC: Expanding the Reach of DLL3 T-Cell Engagers in Clinical Practice (19:35–20:05) – This topic will address the DLL3 target in small cell lung cancer, efficacy and safety data for T-cell engagers, and practical considerations such as patient selection, step-up dosing and management of cytokine release syndrome.</w:t>
      </w:r>
    </w:p>
    <w:p w14:paraId="30AB49AC" w14:textId="77777777" w:rsidR="00444D72" w:rsidRPr="00444D72" w:rsidRDefault="00444D72" w:rsidP="00444D72">
      <w:pPr>
        <w:numPr>
          <w:ilvl w:val="1"/>
          <w:numId w:val="1"/>
        </w:numPr>
      </w:pPr>
      <w:r w:rsidRPr="00444D72">
        <w:t>Q&amp;A (20:05–20:20) – Faculty will discuss unmet needs, real-world implementation and multidisciplinary coordination required to deliver T-cell engager therapy safely in Taiwan.</w:t>
      </w:r>
    </w:p>
    <w:p w14:paraId="363610CB" w14:textId="77777777" w:rsidR="00444D72" w:rsidRPr="00444D72" w:rsidRDefault="00444D72" w:rsidP="00444D72">
      <w:r w:rsidRPr="00444D72">
        <w:rPr>
          <w:b/>
          <w:bCs/>
        </w:rPr>
        <w:t>Key Takeaways</w:t>
      </w:r>
    </w:p>
    <w:p w14:paraId="532F1642" w14:textId="77777777" w:rsidR="00444D72" w:rsidRPr="00444D72" w:rsidRDefault="00444D72" w:rsidP="00444D72">
      <w:r w:rsidRPr="00444D72">
        <w:t>Participants will gain a clear understanding of how bispecific antibodies and DLL3-directed T-cell engagers fit into the evolving treatment pathway, together with practical guidance on safety monitoring and the data expected to define the next standard of care.</w:t>
      </w:r>
    </w:p>
    <w:p w14:paraId="17BB1B83" w14:textId="77777777" w:rsidR="00444D72" w:rsidRPr="00444D72" w:rsidRDefault="00444D72"/>
    <w:sectPr w:rsidR="00444D72" w:rsidRPr="00444D7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E22D6E"/>
    <w:multiLevelType w:val="hybridMultilevel"/>
    <w:tmpl w:val="FD5EBFA4"/>
    <w:lvl w:ilvl="0" w:tplc="8716DD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72E57A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CC6FC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2616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5BA08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FE21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86AD9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F321C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AA56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734185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D72"/>
    <w:rsid w:val="00261BF8"/>
    <w:rsid w:val="002F51D4"/>
    <w:rsid w:val="00444D72"/>
    <w:rsid w:val="004465F5"/>
    <w:rsid w:val="00CB07A7"/>
    <w:rsid w:val="00D70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981E92"/>
  <w15:chartTrackingRefBased/>
  <w15:docId w15:val="{C8C57B47-5225-4F5C-A366-24D6D7C72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444D72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44D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44D72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44D72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44D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44D72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44D72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44D72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44D72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444D72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444D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444D72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444D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444D72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444D72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444D72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444D72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444D7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44D72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444D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44D72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444D7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44D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444D7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44D72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444D72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44D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444D72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44D7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1287</Characters>
  <Application>Microsoft Office Word</Application>
  <DocSecurity>0</DocSecurity>
  <Lines>10</Lines>
  <Paragraphs>3</Paragraphs>
  <ScaleCrop>false</ScaleCrop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軒吟 台灣肺癌研究學會</dc:creator>
  <cp:keywords/>
  <dc:description/>
  <cp:lastModifiedBy>軒吟 台灣肺癌研究學會</cp:lastModifiedBy>
  <cp:revision>1</cp:revision>
  <dcterms:created xsi:type="dcterms:W3CDTF">2026-10-27T02:53:00Z</dcterms:created>
  <dcterms:modified xsi:type="dcterms:W3CDTF">2026-10-27T02:54:00Z</dcterms:modified>
</cp:coreProperties>
</file>