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7676A" w14:textId="77777777" w:rsidR="00F13470" w:rsidRPr="00F13470" w:rsidRDefault="00F13470" w:rsidP="00F13470">
      <w:r w:rsidRPr="00F13470">
        <w:rPr>
          <w:b/>
          <w:bCs/>
        </w:rPr>
        <w:t>Overview</w:t>
      </w:r>
    </w:p>
    <w:p w14:paraId="23F6FE4A" w14:textId="77777777" w:rsidR="00F13470" w:rsidRPr="00F13470" w:rsidRDefault="00F13470" w:rsidP="00F13470">
      <w:r w:rsidRPr="00F13470">
        <w:t>The 2026 TASLC Webinar Series – Patient Path 360: Current and the Future of HER2 NSCLC will be held virtually on Tuesday, November 10th, 19:00–20:30. The session convenes Taiwan thoracic oncology experts to review how rapidly evolving HER2-directed science is reshaping the diagnostic and treatment pathway for patients with HER2-altered non-small cell lung cancer.</w:t>
      </w:r>
    </w:p>
    <w:p w14:paraId="558619E0" w14:textId="77777777" w:rsidR="00F13470" w:rsidRPr="00F13470" w:rsidRDefault="00F13470" w:rsidP="00F13470">
      <w:r w:rsidRPr="00F13470">
        <w:rPr>
          <w:b/>
          <w:bCs/>
        </w:rPr>
        <w:t>Session Highlights</w:t>
      </w:r>
    </w:p>
    <w:p w14:paraId="149B7AAC" w14:textId="77777777" w:rsidR="00F13470" w:rsidRPr="00F13470" w:rsidRDefault="00F13470" w:rsidP="00F13470">
      <w:pPr>
        <w:numPr>
          <w:ilvl w:val="1"/>
          <w:numId w:val="1"/>
        </w:numPr>
      </w:pPr>
      <w:r w:rsidRPr="00F13470">
        <w:t xml:space="preserve">From HER2 Biology to Current Clinical Practice: The Role of ADC and Immunotherapy (19:05–19:35) – This </w:t>
      </w:r>
      <w:proofErr w:type="gramStart"/>
      <w:r w:rsidRPr="00F13470">
        <w:t>topic  will</w:t>
      </w:r>
      <w:proofErr w:type="gramEnd"/>
      <w:r w:rsidRPr="00F13470">
        <w:t xml:space="preserve"> outline HER2 mutation biology, testing considerations, and the current evidence for antibody-drug conjugates and immunotherapy in daily practice. </w:t>
      </w:r>
    </w:p>
    <w:p w14:paraId="2BBDD939" w14:textId="77777777" w:rsidR="00F13470" w:rsidRPr="00F13470" w:rsidRDefault="00F13470" w:rsidP="00F13470">
      <w:pPr>
        <w:numPr>
          <w:ilvl w:val="1"/>
          <w:numId w:val="1"/>
        </w:numPr>
      </w:pPr>
      <w:r w:rsidRPr="00F13470">
        <w:t xml:space="preserve">Evolving Treatment Landscape in HER2-mutant NSCLC: The Rise of HER2 TKIs (19:35–20:05) – This topic will review emerging HER2 tyrosine kinase inhibitor data, efficacy and safety profiles, CNS activity, and sequencing implications. </w:t>
      </w:r>
    </w:p>
    <w:p w14:paraId="2D433726" w14:textId="77777777" w:rsidR="00F13470" w:rsidRPr="00F13470" w:rsidRDefault="00F13470" w:rsidP="00F13470">
      <w:r w:rsidRPr="00F13470">
        <w:rPr>
          <w:b/>
          <w:bCs/>
        </w:rPr>
        <w:t>Key Takeaways</w:t>
      </w:r>
    </w:p>
    <w:p w14:paraId="06A785AC" w14:textId="77777777" w:rsidR="00F13470" w:rsidRPr="00F13470" w:rsidRDefault="00F13470" w:rsidP="00F13470">
      <w:r w:rsidRPr="00F13470">
        <w:t xml:space="preserve">Participants will leave with a practical, evidence-based framework for identifying HER2-altered NSCLC earlier and selecting the optimal treatment sequence for each patient today, together with a clear view of the trials and agents likely to define the next standard of care. </w:t>
      </w:r>
    </w:p>
    <w:p w14:paraId="3BD4B398" w14:textId="77777777" w:rsidR="00D70972" w:rsidRPr="00F13470" w:rsidRDefault="00D70972"/>
    <w:sectPr w:rsidR="00D70972" w:rsidRPr="00F1347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843E67" w14:textId="77777777" w:rsidR="008D103A" w:rsidRDefault="008D103A" w:rsidP="00F13470">
      <w:pPr>
        <w:spacing w:after="0" w:line="240" w:lineRule="auto"/>
      </w:pPr>
      <w:r>
        <w:separator/>
      </w:r>
    </w:p>
  </w:endnote>
  <w:endnote w:type="continuationSeparator" w:id="0">
    <w:p w14:paraId="58C77ADE" w14:textId="77777777" w:rsidR="008D103A" w:rsidRDefault="008D103A" w:rsidP="00F13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1D36D" w14:textId="77777777" w:rsidR="008D103A" w:rsidRDefault="008D103A" w:rsidP="00F13470">
      <w:pPr>
        <w:spacing w:after="0" w:line="240" w:lineRule="auto"/>
      </w:pPr>
      <w:r>
        <w:separator/>
      </w:r>
    </w:p>
  </w:footnote>
  <w:footnote w:type="continuationSeparator" w:id="0">
    <w:p w14:paraId="5D59A0E5" w14:textId="77777777" w:rsidR="008D103A" w:rsidRDefault="008D103A" w:rsidP="00F134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112634"/>
    <w:multiLevelType w:val="hybridMultilevel"/>
    <w:tmpl w:val="91B40CD6"/>
    <w:lvl w:ilvl="0" w:tplc="DF181A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0CF2E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3CF7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4E50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04E3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5C02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2842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BE18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50E5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214347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F66"/>
    <w:rsid w:val="00261BF8"/>
    <w:rsid w:val="002F51D4"/>
    <w:rsid w:val="008D103A"/>
    <w:rsid w:val="00BB7591"/>
    <w:rsid w:val="00CB07A7"/>
    <w:rsid w:val="00D70972"/>
    <w:rsid w:val="00F13470"/>
    <w:rsid w:val="00F94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84C08A"/>
  <w15:chartTrackingRefBased/>
  <w15:docId w15:val="{6F0A20C8-7385-4ED5-86BF-A76E75C6F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94F6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4F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4F66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4F66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4F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4F66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94F66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4F66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94F66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94F6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F94F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F94F66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F94F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F94F66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F94F66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F94F66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F94F66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F94F6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94F6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F94F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94F6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F94F6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94F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F94F6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94F6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94F6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94F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F94F6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94F66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F134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F13470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F134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F1347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軒吟 台灣肺癌研究學會</dc:creator>
  <cp:keywords/>
  <dc:description/>
  <cp:lastModifiedBy>軒吟 台灣肺癌研究學會</cp:lastModifiedBy>
  <cp:revision>2</cp:revision>
  <dcterms:created xsi:type="dcterms:W3CDTF">2026-10-08T08:23:00Z</dcterms:created>
  <dcterms:modified xsi:type="dcterms:W3CDTF">2026-10-08T08:23:00Z</dcterms:modified>
</cp:coreProperties>
</file>