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40992" w14:textId="08580F8E" w:rsidR="007F0CF1" w:rsidRPr="009568BF" w:rsidRDefault="00CB0125" w:rsidP="009568BF">
      <w:pPr>
        <w:pStyle w:val="a9"/>
        <w:ind w:left="514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9568BF">
        <w:rPr>
          <w:rFonts w:ascii="Times New Roman" w:eastAsia="標楷體" w:hAnsi="Times New Roman" w:cs="Times New Roman"/>
          <w:b/>
          <w:bCs/>
          <w:sz w:val="36"/>
          <w:szCs w:val="36"/>
        </w:rPr>
        <w:t>115.11.07</w:t>
      </w:r>
      <w:r w:rsidR="009B5ADA" w:rsidRPr="009568BF">
        <w:rPr>
          <w:rFonts w:ascii="Times New Roman" w:eastAsia="標楷體" w:hAnsi="Times New Roman" w:cs="Times New Roman"/>
          <w:b/>
          <w:bCs/>
          <w:sz w:val="36"/>
          <w:szCs w:val="36"/>
        </w:rPr>
        <w:t>中區胸腔半年會</w:t>
      </w:r>
    </w:p>
    <w:p w14:paraId="00948916" w14:textId="37043BAA" w:rsidR="00807873" w:rsidRPr="009568BF" w:rsidRDefault="00680A10" w:rsidP="007F0CF1">
      <w:pPr>
        <w:pStyle w:val="a9"/>
        <w:ind w:left="514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9568BF">
        <w:rPr>
          <w:rFonts w:ascii="Times New Roman" w:eastAsia="標楷體" w:hAnsi="Times New Roman" w:cs="Times New Roman"/>
          <w:b/>
          <w:bCs/>
          <w:sz w:val="32"/>
          <w:szCs w:val="32"/>
        </w:rPr>
        <w:t xml:space="preserve">Topic </w:t>
      </w:r>
      <w:r w:rsidRPr="009568BF">
        <w:rPr>
          <w:rFonts w:ascii="Times New Roman" w:eastAsia="標楷體" w:hAnsi="Times New Roman" w:cs="Times New Roman"/>
          <w:b/>
          <w:bCs/>
          <w:sz w:val="32"/>
          <w:szCs w:val="32"/>
        </w:rPr>
        <w:t>簡介</w:t>
      </w:r>
    </w:p>
    <w:p w14:paraId="3D63F1BE" w14:textId="63B0A469" w:rsidR="00680A10" w:rsidRPr="009568BF" w:rsidRDefault="00B52709" w:rsidP="009568BF">
      <w:pPr>
        <w:pStyle w:val="a9"/>
        <w:numPr>
          <w:ilvl w:val="0"/>
          <w:numId w:val="1"/>
        </w:numPr>
        <w:snapToGrid w:val="0"/>
        <w:spacing w:after="0" w:line="240" w:lineRule="auto"/>
        <w:contextualSpacing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>啟動</w:t>
      </w: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COPD </w:t>
      </w: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>防護網：及早治療以預防急性惡化與三合一藥物臨床應用解析</w:t>
      </w:r>
    </w:p>
    <w:p w14:paraId="66426830" w14:textId="77777777" w:rsidR="00B52709" w:rsidRPr="009568BF" w:rsidRDefault="00B52709" w:rsidP="009568BF">
      <w:pPr>
        <w:pStyle w:val="a9"/>
        <w:snapToGrid w:val="0"/>
        <w:spacing w:after="0" w:line="240" w:lineRule="auto"/>
        <w:ind w:left="357"/>
        <w:contextualSpacing w:val="0"/>
        <w:rPr>
          <w:rFonts w:ascii="Times New Roman" w:eastAsia="標楷體" w:hAnsi="Times New Roman" w:cs="Times New Roman"/>
          <w:sz w:val="28"/>
          <w:szCs w:val="28"/>
        </w:rPr>
      </w:pPr>
      <w:r w:rsidRPr="009568BF">
        <w:rPr>
          <w:rFonts w:ascii="Times New Roman" w:eastAsia="標楷體" w:hAnsi="Times New Roman" w:cs="Times New Roman"/>
          <w:sz w:val="28"/>
          <w:szCs w:val="28"/>
        </w:rPr>
        <w:t>慢性阻塞性肺病（</w:t>
      </w:r>
      <w:r w:rsidRPr="009568BF">
        <w:rPr>
          <w:rFonts w:ascii="Times New Roman" w:eastAsia="標楷體" w:hAnsi="Times New Roman" w:cs="Times New Roman"/>
          <w:sz w:val="28"/>
          <w:szCs w:val="28"/>
        </w:rPr>
        <w:t>COPD</w:t>
      </w:r>
      <w:r w:rsidRPr="009568BF">
        <w:rPr>
          <w:rFonts w:ascii="Times New Roman" w:eastAsia="標楷體" w:hAnsi="Times New Roman" w:cs="Times New Roman"/>
          <w:sz w:val="28"/>
          <w:szCs w:val="28"/>
        </w:rPr>
        <w:t>）的「急性惡化」不僅加劇症狀，更會不可逆地加速肺功能衰退並提升死亡風險。本次演講以「啟動</w:t>
      </w:r>
      <w:r w:rsidRPr="009568BF">
        <w:rPr>
          <w:rFonts w:ascii="Times New Roman" w:eastAsia="標楷體" w:hAnsi="Times New Roman" w:cs="Times New Roman"/>
          <w:sz w:val="28"/>
          <w:szCs w:val="28"/>
        </w:rPr>
        <w:t xml:space="preserve"> COPD </w:t>
      </w:r>
      <w:r w:rsidRPr="009568BF">
        <w:rPr>
          <w:rFonts w:ascii="Times New Roman" w:eastAsia="標楷體" w:hAnsi="Times New Roman" w:cs="Times New Roman"/>
          <w:sz w:val="28"/>
          <w:szCs w:val="28"/>
        </w:rPr>
        <w:t>防護網」為核心，探討國際治療指引中強調「及早介入」與「預防惡化」的關鍵策略。</w:t>
      </w:r>
    </w:p>
    <w:p w14:paraId="66B3939A" w14:textId="590BE17E" w:rsidR="00680A10" w:rsidRPr="009568BF" w:rsidRDefault="00B52709" w:rsidP="009568BF">
      <w:pPr>
        <w:pStyle w:val="a9"/>
        <w:snapToGrid w:val="0"/>
        <w:spacing w:after="0" w:line="240" w:lineRule="auto"/>
        <w:ind w:left="357"/>
        <w:contextualSpacing w:val="0"/>
        <w:rPr>
          <w:rFonts w:ascii="Times New Roman" w:eastAsia="標楷體" w:hAnsi="Times New Roman" w:cs="Times New Roman"/>
          <w:sz w:val="28"/>
          <w:szCs w:val="28"/>
        </w:rPr>
      </w:pPr>
      <w:r w:rsidRPr="009568BF">
        <w:rPr>
          <w:rFonts w:ascii="Times New Roman" w:eastAsia="標楷體" w:hAnsi="Times New Roman" w:cs="Times New Roman"/>
          <w:sz w:val="28"/>
          <w:szCs w:val="28"/>
        </w:rPr>
        <w:t>內容首先剖析急性惡化的臨床危機，打破傳統僅著重症狀緩解的迷思，強調及時建立防護網的急迫性。接著，深入探討三合一療法（</w:t>
      </w:r>
      <w:r w:rsidRPr="009568BF">
        <w:rPr>
          <w:rFonts w:ascii="Times New Roman" w:eastAsia="標楷體" w:hAnsi="Times New Roman" w:cs="Times New Roman"/>
          <w:sz w:val="28"/>
          <w:szCs w:val="28"/>
        </w:rPr>
        <w:t>ICS/LAMA/LABA</w:t>
      </w:r>
      <w:r w:rsidRPr="009568BF">
        <w:rPr>
          <w:rFonts w:ascii="Times New Roman" w:eastAsia="標楷體" w:hAnsi="Times New Roman" w:cs="Times New Roman"/>
          <w:sz w:val="28"/>
          <w:szCs w:val="28"/>
        </w:rPr>
        <w:t>）的協同作用機制與關鍵實證，解析其在降低中重度惡化風險及改善死亡率上的顯著效益。最後將聚焦於臨床實戰，透過真實世界案例分享，探討高風險族群的精</w:t>
      </w:r>
      <w:proofErr w:type="gramStart"/>
      <w:r w:rsidRPr="009568BF">
        <w:rPr>
          <w:rFonts w:ascii="Times New Roman" w:eastAsia="標楷體" w:hAnsi="Times New Roman" w:cs="Times New Roman"/>
          <w:sz w:val="28"/>
          <w:szCs w:val="28"/>
        </w:rPr>
        <w:t>準</w:t>
      </w:r>
      <w:proofErr w:type="gramEnd"/>
      <w:r w:rsidRPr="009568BF">
        <w:rPr>
          <w:rFonts w:ascii="Times New Roman" w:eastAsia="標楷體" w:hAnsi="Times New Roman" w:cs="Times New Roman"/>
          <w:sz w:val="28"/>
          <w:szCs w:val="28"/>
        </w:rPr>
        <w:t>辨識、三合一藥物的</w:t>
      </w:r>
      <w:proofErr w:type="gramStart"/>
      <w:r w:rsidRPr="009568BF">
        <w:rPr>
          <w:rFonts w:ascii="Times New Roman" w:eastAsia="標楷體" w:hAnsi="Times New Roman" w:cs="Times New Roman"/>
          <w:sz w:val="28"/>
          <w:szCs w:val="28"/>
        </w:rPr>
        <w:t>最</w:t>
      </w:r>
      <w:proofErr w:type="gramEnd"/>
      <w:r w:rsidRPr="009568BF">
        <w:rPr>
          <w:rFonts w:ascii="Times New Roman" w:eastAsia="標楷體" w:hAnsi="Times New Roman" w:cs="Times New Roman"/>
          <w:sz w:val="28"/>
          <w:szCs w:val="28"/>
        </w:rPr>
        <w:t>適處方與升階時機，以及單一吸入器對提升病患依從性的優勢，期能協助醫師及早翻轉</w:t>
      </w:r>
      <w:r w:rsidRPr="009568BF">
        <w:rPr>
          <w:rFonts w:ascii="Times New Roman" w:eastAsia="標楷體" w:hAnsi="Times New Roman" w:cs="Times New Roman"/>
          <w:sz w:val="28"/>
          <w:szCs w:val="28"/>
        </w:rPr>
        <w:t xml:space="preserve"> COPD </w:t>
      </w:r>
      <w:r w:rsidRPr="009568BF">
        <w:rPr>
          <w:rFonts w:ascii="Times New Roman" w:eastAsia="標楷體" w:hAnsi="Times New Roman" w:cs="Times New Roman"/>
          <w:sz w:val="28"/>
          <w:szCs w:val="28"/>
        </w:rPr>
        <w:t>病程，全面優化患者預後。</w:t>
      </w:r>
    </w:p>
    <w:p w14:paraId="23DE5C02" w14:textId="77777777" w:rsidR="00807873" w:rsidRPr="009568BF" w:rsidRDefault="00807873" w:rsidP="009568BF">
      <w:pPr>
        <w:pStyle w:val="a9"/>
        <w:snapToGrid w:val="0"/>
        <w:spacing w:after="0" w:line="240" w:lineRule="auto"/>
        <w:ind w:left="360"/>
        <w:contextualSpacing w:val="0"/>
        <w:rPr>
          <w:rFonts w:ascii="Times New Roman" w:eastAsia="標楷體" w:hAnsi="Times New Roman" w:cs="Times New Roman"/>
          <w:sz w:val="28"/>
          <w:szCs w:val="28"/>
        </w:rPr>
      </w:pPr>
    </w:p>
    <w:p w14:paraId="31A30D12" w14:textId="5DF33BAB" w:rsidR="00807873" w:rsidRPr="009568BF" w:rsidRDefault="00B52709" w:rsidP="009568BF">
      <w:pPr>
        <w:pStyle w:val="a9"/>
        <w:numPr>
          <w:ilvl w:val="0"/>
          <w:numId w:val="1"/>
        </w:numPr>
        <w:snapToGrid w:val="0"/>
        <w:spacing w:after="0" w:line="240" w:lineRule="auto"/>
        <w:contextualSpacing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>The Evolving Treatment</w:t>
      </w: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>Landscape of</w:t>
      </w: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>Small Cell Lung Cancer: From</w:t>
      </w: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>Chemotherapy to Targeted ADCs</w:t>
      </w:r>
    </w:p>
    <w:p w14:paraId="7A7392BC" w14:textId="77777777" w:rsidR="00B52709" w:rsidRPr="009568BF" w:rsidRDefault="00680A10" w:rsidP="009568BF">
      <w:pPr>
        <w:snapToGrid w:val="0"/>
        <w:spacing w:after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9568BF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="00B52709" w:rsidRPr="009568BF">
        <w:rPr>
          <w:rFonts w:ascii="Times New Roman" w:eastAsia="標楷體" w:hAnsi="Times New Roman" w:cs="Times New Roman"/>
          <w:sz w:val="28"/>
          <w:szCs w:val="28"/>
        </w:rPr>
        <w:t>Small cell lung cancer (SCLC) is characterized by rapid disease progression, early metastatic spread, and historically limited therapeutic options. For decades, platinum-based chemotherapy remained the cornerstone of treatment; however, recent advances have substantially reshaped the therapeutic landscape of extensive-stage disease (ES-SCLC).</w:t>
      </w:r>
    </w:p>
    <w:p w14:paraId="3ED12FD5" w14:textId="77777777" w:rsidR="00B52709" w:rsidRPr="009568BF" w:rsidRDefault="00B52709" w:rsidP="009568BF">
      <w:pPr>
        <w:snapToGrid w:val="0"/>
        <w:spacing w:after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9568BF">
        <w:rPr>
          <w:rFonts w:ascii="Times New Roman" w:eastAsia="標楷體" w:hAnsi="Times New Roman" w:cs="Times New Roman"/>
          <w:sz w:val="28"/>
          <w:szCs w:val="28"/>
        </w:rPr>
        <w:t>The incorporation of IO into first-line platinum–etoposide chemotherapy has established chemoimmunotherapy as a new standard for ES-SCLC, providing durable survival benefit in a subset of patients. In LS-SCLC, consolidation immunotherapy following concurrent chemoradiotherapy has further expanded the role of immune-based strategies. Nevertheless, disease recurrence remains common, highlighting the urgent need for more effective post-progression and maintenance approaches.</w:t>
      </w:r>
    </w:p>
    <w:p w14:paraId="7A24C9D4" w14:textId="77777777" w:rsidR="00B52709" w:rsidRPr="009568BF" w:rsidRDefault="00B52709" w:rsidP="009568BF">
      <w:pPr>
        <w:snapToGrid w:val="0"/>
        <w:spacing w:after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9568BF">
        <w:rPr>
          <w:rFonts w:ascii="Times New Roman" w:eastAsia="標楷體" w:hAnsi="Times New Roman" w:cs="Times New Roman"/>
          <w:sz w:val="28"/>
          <w:szCs w:val="28"/>
        </w:rPr>
        <w:t xml:space="preserve">Recent progress in molecular characterization and target discovery is driving a transition toward biomarker- and antigen-directed therapies. DLL3 has emerged as an important therapeutic target in SCLC, with T-cell engagers such as </w:t>
      </w:r>
      <w:proofErr w:type="spellStart"/>
      <w:r w:rsidRPr="009568BF">
        <w:rPr>
          <w:rFonts w:ascii="Times New Roman" w:eastAsia="標楷體" w:hAnsi="Times New Roman" w:cs="Times New Roman"/>
          <w:sz w:val="28"/>
          <w:szCs w:val="28"/>
        </w:rPr>
        <w:t>tarlatamab</w:t>
      </w:r>
      <w:proofErr w:type="spellEnd"/>
      <w:r w:rsidRPr="009568BF">
        <w:rPr>
          <w:rFonts w:ascii="Times New Roman" w:eastAsia="標楷體" w:hAnsi="Times New Roman" w:cs="Times New Roman"/>
          <w:sz w:val="28"/>
          <w:szCs w:val="28"/>
        </w:rPr>
        <w:t xml:space="preserve"> demonstrating clinically meaningful activity and establishing a new treatment paradigm beyond conventional chemotherapy. </w:t>
      </w:r>
    </w:p>
    <w:p w14:paraId="705FC6D8" w14:textId="77777777" w:rsidR="00B52709" w:rsidRPr="009568BF" w:rsidRDefault="00B52709" w:rsidP="009568BF">
      <w:pPr>
        <w:snapToGrid w:val="0"/>
        <w:spacing w:after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9568BF">
        <w:rPr>
          <w:rFonts w:ascii="Times New Roman" w:eastAsia="標楷體" w:hAnsi="Times New Roman" w:cs="Times New Roman"/>
          <w:sz w:val="28"/>
          <w:szCs w:val="28"/>
        </w:rPr>
        <w:t xml:space="preserve">Antibody–drug conjugates (ADCs) represent another rapidly evolving </w:t>
      </w:r>
      <w:r w:rsidRPr="009568BF">
        <w:rPr>
          <w:rFonts w:ascii="Times New Roman" w:eastAsia="標楷體" w:hAnsi="Times New Roman" w:cs="Times New Roman"/>
          <w:sz w:val="28"/>
          <w:szCs w:val="28"/>
        </w:rPr>
        <w:lastRenderedPageBreak/>
        <w:t xml:space="preserve">therapeutic platform. Multiple </w:t>
      </w:r>
      <w:proofErr w:type="gramStart"/>
      <w:r w:rsidRPr="009568BF">
        <w:rPr>
          <w:rFonts w:ascii="Times New Roman" w:eastAsia="標楷體" w:hAnsi="Times New Roman" w:cs="Times New Roman"/>
          <w:sz w:val="28"/>
          <w:szCs w:val="28"/>
        </w:rPr>
        <w:t>targets—</w:t>
      </w:r>
      <w:proofErr w:type="gramEnd"/>
      <w:r w:rsidRPr="009568BF">
        <w:rPr>
          <w:rFonts w:ascii="Times New Roman" w:eastAsia="標楷體" w:hAnsi="Times New Roman" w:cs="Times New Roman"/>
          <w:sz w:val="28"/>
          <w:szCs w:val="28"/>
        </w:rPr>
        <w:t>including B7-H3, DLL3, TROP2, SEZ6, and EGFR/</w:t>
      </w:r>
      <w:proofErr w:type="gramStart"/>
      <w:r w:rsidRPr="009568BF">
        <w:rPr>
          <w:rFonts w:ascii="Times New Roman" w:eastAsia="標楷體" w:hAnsi="Times New Roman" w:cs="Times New Roman"/>
          <w:sz w:val="28"/>
          <w:szCs w:val="28"/>
        </w:rPr>
        <w:t>HER3—</w:t>
      </w:r>
      <w:proofErr w:type="gramEnd"/>
      <w:r w:rsidRPr="009568BF">
        <w:rPr>
          <w:rFonts w:ascii="Times New Roman" w:eastAsia="標楷體" w:hAnsi="Times New Roman" w:cs="Times New Roman"/>
          <w:sz w:val="28"/>
          <w:szCs w:val="28"/>
        </w:rPr>
        <w:t xml:space="preserve">are currently being explored, with several ADCs showing encouraging response rates in relapsed SCLC and advancing into phase III trials. Ongoing studies are also investigating whether ADC-based combinations may eventually challenge platinum–etoposide as the mandatory frontline backbone. </w:t>
      </w:r>
    </w:p>
    <w:p w14:paraId="7DB6CDC4" w14:textId="255C3DFD" w:rsidR="00680A10" w:rsidRPr="009568BF" w:rsidRDefault="00B52709" w:rsidP="009568BF">
      <w:pPr>
        <w:snapToGrid w:val="0"/>
        <w:spacing w:after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9568BF">
        <w:rPr>
          <w:rFonts w:ascii="Times New Roman" w:eastAsia="標楷體" w:hAnsi="Times New Roman" w:cs="Times New Roman"/>
          <w:sz w:val="28"/>
          <w:szCs w:val="28"/>
        </w:rPr>
        <w:t>This presentation will review these key therapeutic advances and discuss how emerging targeted approaches may redefine treatment sequencing and future standards of care in SCLC.</w:t>
      </w:r>
      <w:r w:rsidR="002569FF" w:rsidRPr="009568BF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4A73B039" w14:textId="77777777" w:rsidR="00C22DDB" w:rsidRPr="009568BF" w:rsidRDefault="00C22DDB" w:rsidP="009568BF">
      <w:pPr>
        <w:snapToGrid w:val="0"/>
        <w:spacing w:after="0" w:line="240" w:lineRule="auto"/>
        <w:rPr>
          <w:rFonts w:ascii="Times New Roman" w:eastAsia="標楷體" w:hAnsi="Times New Roman" w:cs="Times New Roman"/>
          <w:sz w:val="28"/>
          <w:szCs w:val="28"/>
        </w:rPr>
      </w:pPr>
    </w:p>
    <w:p w14:paraId="717F71C3" w14:textId="06021F1D" w:rsidR="00680A10" w:rsidRPr="009568BF" w:rsidRDefault="00DA1930" w:rsidP="009568BF">
      <w:pPr>
        <w:pStyle w:val="a9"/>
        <w:numPr>
          <w:ilvl w:val="0"/>
          <w:numId w:val="1"/>
        </w:numPr>
        <w:snapToGrid w:val="0"/>
        <w:spacing w:after="0" w:line="240" w:lineRule="auto"/>
        <w:contextualSpacing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Beyond </w:t>
      </w:r>
      <w:proofErr w:type="gramStart"/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>Antibiotics :</w:t>
      </w:r>
      <w:proofErr w:type="gramEnd"/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Multidisciplinary</w:t>
      </w: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>Management of NTM Lung Disease</w:t>
      </w:r>
    </w:p>
    <w:p w14:paraId="6F846A59" w14:textId="01422677" w:rsidR="00807873" w:rsidRPr="009568BF" w:rsidRDefault="00C22DDB" w:rsidP="009568BF">
      <w:pPr>
        <w:snapToGrid w:val="0"/>
        <w:spacing w:after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9568BF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="00DA1930" w:rsidRPr="009568BF">
        <w:rPr>
          <w:rFonts w:ascii="Times New Roman" w:eastAsia="標楷體" w:hAnsi="Times New Roman" w:cs="Times New Roman"/>
          <w:sz w:val="28"/>
          <w:szCs w:val="28"/>
        </w:rPr>
        <w:t>聚焦於非結核分枝桿菌（</w:t>
      </w:r>
      <w:r w:rsidR="00DA1930" w:rsidRPr="009568BF">
        <w:rPr>
          <w:rFonts w:ascii="Times New Roman" w:eastAsia="標楷體" w:hAnsi="Times New Roman" w:cs="Times New Roman"/>
          <w:sz w:val="28"/>
          <w:szCs w:val="28"/>
        </w:rPr>
        <w:t>NTM</w:t>
      </w:r>
      <w:r w:rsidR="00DA1930" w:rsidRPr="009568BF">
        <w:rPr>
          <w:rFonts w:ascii="Times New Roman" w:eastAsia="標楷體" w:hAnsi="Times New Roman" w:cs="Times New Roman"/>
          <w:sz w:val="28"/>
          <w:szCs w:val="28"/>
        </w:rPr>
        <w:t>）肺部疾病的全方位治療策略。面對療程冗長、副作用多及抗藥性高之困境，治療不僅局限於抗生素處方，更強調「跨專科整合照護」之必要性。內容涵蓋：胸腔與感染科的精</w:t>
      </w:r>
      <w:proofErr w:type="gramStart"/>
      <w:r w:rsidR="00DA1930" w:rsidRPr="009568BF">
        <w:rPr>
          <w:rFonts w:ascii="Times New Roman" w:eastAsia="標楷體" w:hAnsi="Times New Roman" w:cs="Times New Roman"/>
          <w:sz w:val="28"/>
          <w:szCs w:val="28"/>
        </w:rPr>
        <w:t>準</w:t>
      </w:r>
      <w:proofErr w:type="gramEnd"/>
      <w:r w:rsidR="00DA1930" w:rsidRPr="009568BF">
        <w:rPr>
          <w:rFonts w:ascii="Times New Roman" w:eastAsia="標楷體" w:hAnsi="Times New Roman" w:cs="Times New Roman"/>
          <w:sz w:val="28"/>
          <w:szCs w:val="28"/>
        </w:rPr>
        <w:t>藥物選擇、胸腔物理治療與氣道清除技術以維持肺功能、營養團隊介入改善消耗性體質，以及外科手術評估與共病（如支氣管擴張症、胃食道逆流）之全人管理，藉由多團隊協作以提升患者預後與生活品質。</w:t>
      </w:r>
      <w:r w:rsidRPr="009568BF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4E9538BC" w14:textId="77777777" w:rsidR="00C22DDB" w:rsidRPr="009568BF" w:rsidRDefault="00C22DDB" w:rsidP="009568BF">
      <w:pPr>
        <w:snapToGrid w:val="0"/>
        <w:spacing w:after="0" w:line="240" w:lineRule="auto"/>
        <w:rPr>
          <w:rFonts w:ascii="Times New Roman" w:eastAsia="標楷體" w:hAnsi="Times New Roman" w:cs="Times New Roman"/>
          <w:sz w:val="28"/>
          <w:szCs w:val="28"/>
        </w:rPr>
      </w:pPr>
    </w:p>
    <w:p w14:paraId="43B95800" w14:textId="43F07EA5" w:rsidR="00680A10" w:rsidRPr="009568BF" w:rsidRDefault="001C1AB2" w:rsidP="009568BF">
      <w:pPr>
        <w:pStyle w:val="a9"/>
        <w:numPr>
          <w:ilvl w:val="0"/>
          <w:numId w:val="1"/>
        </w:numPr>
        <w:snapToGrid w:val="0"/>
        <w:spacing w:after="0" w:line="240" w:lineRule="auto"/>
        <w:contextualSpacing w:val="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With Fasenra for EGPA Aim </w:t>
      </w:r>
      <w:proofErr w:type="gramStart"/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>For</w:t>
      </w:r>
      <w:proofErr w:type="gramEnd"/>
      <w:r w:rsidRPr="009568BF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a Future of Remission Without OCS</w:t>
      </w:r>
    </w:p>
    <w:p w14:paraId="785E522C" w14:textId="1252A709" w:rsidR="00807873" w:rsidRPr="009568BF" w:rsidRDefault="000D63E5" w:rsidP="009568BF">
      <w:pPr>
        <w:snapToGrid w:val="0"/>
        <w:spacing w:after="0" w:line="240" w:lineRule="auto"/>
        <w:rPr>
          <w:rFonts w:ascii="Times New Roman" w:eastAsia="標楷體" w:hAnsi="Times New Roman" w:cs="Times New Roman"/>
          <w:sz w:val="28"/>
          <w:szCs w:val="28"/>
        </w:rPr>
      </w:pPr>
      <w:r w:rsidRPr="009568BF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本演講將聚焦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 xml:space="preserve"> Fasenra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（</w:t>
      </w:r>
      <w:proofErr w:type="spellStart"/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benralizumab</w:t>
      </w:r>
      <w:proofErr w:type="spellEnd"/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Start"/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於嗜酸性肉芽腫性</w:t>
      </w:r>
      <w:proofErr w:type="gramEnd"/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多血管炎（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EGPA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）的臨床應用，說明</w:t>
      </w:r>
      <w:proofErr w:type="gramStart"/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嗜</w:t>
      </w:r>
      <w:proofErr w:type="gramEnd"/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酸性球在疾病進程中的角色，以及治療對臨床緩解、復發控制與口服類固醇（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OCS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）減量的意義。演講將進一步探討如何透過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 xml:space="preserve"> MANDARA 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試驗數據呈現臨床緩解、復發控制與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 xml:space="preserve"> OCS 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減量成效，並將治療目標由短期症狀控制推進至持續性臨床緩解與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 xml:space="preserve"> OCS 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最小化，協助建立更完整的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 xml:space="preserve"> EGPA </w:t>
      </w:r>
      <w:r w:rsidR="001C1AB2" w:rsidRPr="009568BF">
        <w:rPr>
          <w:rFonts w:ascii="Times New Roman" w:eastAsia="標楷體" w:hAnsi="Times New Roman" w:cs="Times New Roman"/>
          <w:sz w:val="28"/>
          <w:szCs w:val="28"/>
        </w:rPr>
        <w:t>長期治療策略</w:t>
      </w:r>
      <w:r w:rsidRPr="009568BF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6E01BCFE" w14:textId="77777777" w:rsidR="00807873" w:rsidRPr="009568BF" w:rsidRDefault="00807873" w:rsidP="009568BF">
      <w:pPr>
        <w:snapToGrid w:val="0"/>
        <w:spacing w:after="0" w:line="240" w:lineRule="auto"/>
        <w:rPr>
          <w:rFonts w:ascii="Times New Roman" w:eastAsia="標楷體" w:hAnsi="Times New Roman" w:cs="Times New Roman"/>
          <w:sz w:val="28"/>
          <w:szCs w:val="28"/>
        </w:rPr>
      </w:pPr>
    </w:p>
    <w:sectPr w:rsidR="00807873" w:rsidRPr="009568BF" w:rsidSect="009568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41FB6" w14:textId="77777777" w:rsidR="00AB45C9" w:rsidRDefault="00AB45C9" w:rsidP="00DA4CAE">
      <w:pPr>
        <w:spacing w:after="0" w:line="240" w:lineRule="auto"/>
      </w:pPr>
      <w:r>
        <w:separator/>
      </w:r>
    </w:p>
  </w:endnote>
  <w:endnote w:type="continuationSeparator" w:id="0">
    <w:p w14:paraId="39117AAD" w14:textId="77777777" w:rsidR="00AB45C9" w:rsidRDefault="00AB45C9" w:rsidP="00DA4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4593F" w14:textId="77777777" w:rsidR="00AB45C9" w:rsidRDefault="00AB45C9" w:rsidP="00DA4CAE">
      <w:pPr>
        <w:spacing w:after="0" w:line="240" w:lineRule="auto"/>
      </w:pPr>
      <w:r>
        <w:separator/>
      </w:r>
    </w:p>
  </w:footnote>
  <w:footnote w:type="continuationSeparator" w:id="0">
    <w:p w14:paraId="69EA10C0" w14:textId="77777777" w:rsidR="00AB45C9" w:rsidRDefault="00AB45C9" w:rsidP="00DA4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03F87"/>
    <w:multiLevelType w:val="hybridMultilevel"/>
    <w:tmpl w:val="CD5E39B2"/>
    <w:lvl w:ilvl="0" w:tplc="4E906DEC">
      <w:start w:val="2026"/>
      <w:numFmt w:val="decimal"/>
      <w:lvlText w:val="%1"/>
      <w:lvlJc w:val="left"/>
      <w:pPr>
        <w:ind w:left="514" w:hanging="514"/>
      </w:pPr>
      <w:rPr>
        <w:rFonts w:hint="default"/>
      </w:rPr>
    </w:lvl>
    <w:lvl w:ilvl="1" w:tplc="C74EB47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AB2738"/>
    <w:multiLevelType w:val="hybridMultilevel"/>
    <w:tmpl w:val="E7264212"/>
    <w:lvl w:ilvl="0" w:tplc="F5E4B5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7E4D56"/>
    <w:multiLevelType w:val="hybridMultilevel"/>
    <w:tmpl w:val="E1422D12"/>
    <w:lvl w:ilvl="0" w:tplc="9C9EDA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3F0AFF"/>
    <w:multiLevelType w:val="hybridMultilevel"/>
    <w:tmpl w:val="DA081FC4"/>
    <w:lvl w:ilvl="0" w:tplc="A208BF7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83974580">
    <w:abstractNumId w:val="2"/>
  </w:num>
  <w:num w:numId="2" w16cid:durableId="1875342759">
    <w:abstractNumId w:val="3"/>
  </w:num>
  <w:num w:numId="3" w16cid:durableId="441850700">
    <w:abstractNumId w:val="1"/>
  </w:num>
  <w:num w:numId="4" w16cid:durableId="341590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6A1"/>
    <w:rsid w:val="000D63E5"/>
    <w:rsid w:val="00133D0F"/>
    <w:rsid w:val="001578FC"/>
    <w:rsid w:val="001C0A22"/>
    <w:rsid w:val="001C1AB2"/>
    <w:rsid w:val="002569FF"/>
    <w:rsid w:val="002A40F1"/>
    <w:rsid w:val="002F1B6C"/>
    <w:rsid w:val="00411091"/>
    <w:rsid w:val="004174FE"/>
    <w:rsid w:val="004860EB"/>
    <w:rsid w:val="0059569C"/>
    <w:rsid w:val="005C1DF8"/>
    <w:rsid w:val="00680A10"/>
    <w:rsid w:val="0072142A"/>
    <w:rsid w:val="00743313"/>
    <w:rsid w:val="007446FD"/>
    <w:rsid w:val="007F0CF1"/>
    <w:rsid w:val="00807873"/>
    <w:rsid w:val="00807E64"/>
    <w:rsid w:val="008920A9"/>
    <w:rsid w:val="00905D03"/>
    <w:rsid w:val="009568BF"/>
    <w:rsid w:val="00975EE0"/>
    <w:rsid w:val="00991D66"/>
    <w:rsid w:val="009B5ADA"/>
    <w:rsid w:val="00AA1A7F"/>
    <w:rsid w:val="00AB45C9"/>
    <w:rsid w:val="00B102FB"/>
    <w:rsid w:val="00B52709"/>
    <w:rsid w:val="00BA5CFC"/>
    <w:rsid w:val="00BE2ED3"/>
    <w:rsid w:val="00BE6AA8"/>
    <w:rsid w:val="00C22DDB"/>
    <w:rsid w:val="00C7161A"/>
    <w:rsid w:val="00C97B93"/>
    <w:rsid w:val="00CB0125"/>
    <w:rsid w:val="00CC5994"/>
    <w:rsid w:val="00DA1930"/>
    <w:rsid w:val="00DA4CAE"/>
    <w:rsid w:val="00E529FA"/>
    <w:rsid w:val="00EF7190"/>
    <w:rsid w:val="00F05AAB"/>
    <w:rsid w:val="00F30F8E"/>
    <w:rsid w:val="00F3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7702F4"/>
  <w15:chartTrackingRefBased/>
  <w15:docId w15:val="{83740E0C-4503-4B2B-8ADB-D98EAFE1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316A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16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16A1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16A1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16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316A1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16A1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16A1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316A1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316A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316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316A1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316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316A1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316A1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316A1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316A1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316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316A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316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316A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316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316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316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316A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316A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316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316A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316A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A4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DA4CAE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A4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DA4CA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419</Words>
  <Characters>2391</Characters>
  <Application>Microsoft Office Word</Application>
  <DocSecurity>0</DocSecurity>
  <Lines>19</Lines>
  <Paragraphs>5</Paragraphs>
  <ScaleCrop>false</ScaleCrop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高臺 許</dc:creator>
  <cp:keywords/>
  <dc:description/>
  <cp:lastModifiedBy>羅雅鈴</cp:lastModifiedBy>
  <cp:revision>29</cp:revision>
  <dcterms:created xsi:type="dcterms:W3CDTF">2025-04-15T16:42:00Z</dcterms:created>
  <dcterms:modified xsi:type="dcterms:W3CDTF">2026-10-06T02:46:00Z</dcterms:modified>
</cp:coreProperties>
</file>