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784C6" w14:textId="77777777" w:rsidR="000B2E38" w:rsidRPr="000B2E38" w:rsidRDefault="000B2E38" w:rsidP="000B2E38">
      <w:r w:rsidRPr="000B2E38">
        <w:rPr>
          <w:b/>
          <w:bCs/>
        </w:rPr>
        <w:t>Title:</w:t>
      </w:r>
    </w:p>
    <w:p w14:paraId="655D866E" w14:textId="77777777" w:rsidR="000B2E38" w:rsidRPr="000B2E38" w:rsidRDefault="000B2E38" w:rsidP="000B2E38">
      <w:r w:rsidRPr="000B2E38">
        <w:t>Targeting MET and ERBB2 in NSCLC: Clinical Evidence and Practical Choices</w:t>
      </w:r>
    </w:p>
    <w:p w14:paraId="36DF331C" w14:textId="4680E9D1" w:rsidR="000B2E38" w:rsidRPr="000B2E38" w:rsidRDefault="000B2E38" w:rsidP="000B2E38">
      <w:pPr>
        <w:rPr>
          <w:rFonts w:hint="eastAsia"/>
        </w:rPr>
      </w:pPr>
      <w:r w:rsidRPr="000B2E38">
        <w:rPr>
          <w:b/>
          <w:bCs/>
        </w:rPr>
        <w:t>Abstract:</w:t>
      </w:r>
    </w:p>
    <w:p w14:paraId="07584D87" w14:textId="0F8F1EC9" w:rsidR="00D02448" w:rsidRPr="000B2E38" w:rsidRDefault="00B82203" w:rsidP="000B2E38">
      <w:pPr>
        <w:jc w:val="both"/>
        <w:rPr>
          <w:rFonts w:hint="eastAsia"/>
        </w:rPr>
      </w:pPr>
      <w:r w:rsidRPr="00B82203">
        <w:t>Although MET and ERBB2 alterations occur in a relatively small proportion of NSCLC, their identification can have a direct impact on treatment selection. ERBB2 mutations and amplification, as well as MET exon 14 skipping, amplification, and rare fusions</w:t>
      </w:r>
      <w:r w:rsidR="000B2E38" w:rsidRPr="000B2E38">
        <w:t xml:space="preserve"> are associated with specific targeted treatment options.</w:t>
      </w:r>
      <w:r w:rsidR="000B2E38">
        <w:rPr>
          <w:rFonts w:hint="eastAsia"/>
        </w:rPr>
        <w:t xml:space="preserve"> Therefore, </w:t>
      </w:r>
      <w:r w:rsidR="000B2E38" w:rsidRPr="000B2E38">
        <w:t xml:space="preserve">NGS plays an important role in detecting these alterations. RNA-based testing can also improve the detection of splice-related events such as </w:t>
      </w:r>
      <w:r w:rsidR="000B2E38" w:rsidRPr="000B2E38">
        <w:rPr>
          <w:i/>
          <w:iCs/>
        </w:rPr>
        <w:t>MET</w:t>
      </w:r>
      <w:r w:rsidR="000B2E38" w:rsidRPr="000B2E38">
        <w:t xml:space="preserve"> exon 14 skipping that may be missed by DNA-only approaches.</w:t>
      </w:r>
      <w:r w:rsidR="000B2E38" w:rsidRPr="000B2E38">
        <w:rPr>
          <w:rFonts w:ascii="新細明體" w:eastAsia="新細明體" w:hAnsi="新細明體" w:cs="新細明體"/>
          <w:kern w:val="0"/>
          <w14:ligatures w14:val="none"/>
        </w:rPr>
        <w:t xml:space="preserve"> </w:t>
      </w:r>
      <w:r w:rsidR="008D1827" w:rsidRPr="000B2E38">
        <w:t xml:space="preserve">For </w:t>
      </w:r>
      <w:r w:rsidR="008D1827" w:rsidRPr="000B2E38">
        <w:rPr>
          <w:i/>
          <w:iCs/>
        </w:rPr>
        <w:t>ERBB2</w:t>
      </w:r>
      <w:r w:rsidR="008D1827" w:rsidRPr="000B2E38">
        <w:t xml:space="preserve">-mutant NSCLC, trastuzumab deruxtecan achieved an objective response rate of approximately 49% in DESTINY-Lung02. Newer oral HER2-targeted agents, including </w:t>
      </w:r>
      <w:proofErr w:type="spellStart"/>
      <w:r w:rsidR="008D1827" w:rsidRPr="000B2E38">
        <w:t>zongertinib</w:t>
      </w:r>
      <w:proofErr w:type="spellEnd"/>
      <w:r w:rsidR="008D1827" w:rsidRPr="000B2E38">
        <w:t>, are now being evaluated in later-stage clinical development.</w:t>
      </w:r>
      <w:r w:rsidR="008D1827">
        <w:rPr>
          <w:rFonts w:hint="eastAsia"/>
        </w:rPr>
        <w:t xml:space="preserve"> </w:t>
      </w:r>
      <w:r w:rsidR="000B2E38" w:rsidRPr="000B2E38">
        <w:t xml:space="preserve">For </w:t>
      </w:r>
      <w:r w:rsidR="000B2E38" w:rsidRPr="000B2E38">
        <w:rPr>
          <w:i/>
          <w:iCs/>
        </w:rPr>
        <w:t>MET</w:t>
      </w:r>
      <w:r w:rsidR="000B2E38" w:rsidRPr="000B2E38">
        <w:t xml:space="preserve"> exon 14 skipping NSCLC, selective MET inhibitors such as </w:t>
      </w:r>
      <w:proofErr w:type="spellStart"/>
      <w:r w:rsidR="000B2E38" w:rsidRPr="000B2E38">
        <w:t>capmatinib</w:t>
      </w:r>
      <w:proofErr w:type="spellEnd"/>
      <w:r w:rsidR="000B2E38" w:rsidRPr="000B2E38">
        <w:t xml:space="preserve"> and </w:t>
      </w:r>
      <w:proofErr w:type="spellStart"/>
      <w:r w:rsidR="000B2E38" w:rsidRPr="000B2E38">
        <w:t>tepotinib</w:t>
      </w:r>
      <w:proofErr w:type="spellEnd"/>
      <w:r w:rsidR="000B2E38" w:rsidRPr="000B2E38">
        <w:t xml:space="preserve"> have demonstrated clinically meaningful response rates in both previously treated and treatment-naïve patients. Other MET-directed strategies, including </w:t>
      </w:r>
      <w:proofErr w:type="spellStart"/>
      <w:r w:rsidR="000B2E38" w:rsidRPr="000B2E38">
        <w:t>amivantamab</w:t>
      </w:r>
      <w:proofErr w:type="spellEnd"/>
      <w:r w:rsidR="000B2E38" w:rsidRPr="000B2E38">
        <w:t>, are also being studied in settings such as MET-driven resistance after EGFR-targeted therapy.</w:t>
      </w:r>
      <w:r w:rsidR="000B2E38">
        <w:rPr>
          <w:rFonts w:hint="eastAsia"/>
        </w:rPr>
        <w:t xml:space="preserve"> </w:t>
      </w:r>
      <w:r w:rsidR="008D1827" w:rsidRPr="008D1827">
        <w:t xml:space="preserve">This session will focus on how NGS identifies clinically actionable </w:t>
      </w:r>
      <w:r w:rsidR="008D1827" w:rsidRPr="008D1827">
        <w:rPr>
          <w:i/>
          <w:iCs/>
        </w:rPr>
        <w:t>MET</w:t>
      </w:r>
      <w:r w:rsidR="008D1827" w:rsidRPr="008D1827">
        <w:t xml:space="preserve"> and </w:t>
      </w:r>
      <w:r w:rsidR="008D1827" w:rsidRPr="008D1827">
        <w:rPr>
          <w:i/>
          <w:iCs/>
        </w:rPr>
        <w:t>ERBB2</w:t>
      </w:r>
      <w:r w:rsidR="008D1827" w:rsidRPr="008D1827">
        <w:t xml:space="preserve"> alterations, including assay design, DNA- </w:t>
      </w:r>
      <w:r w:rsidR="008D1827">
        <w:rPr>
          <w:rFonts w:hint="eastAsia"/>
        </w:rPr>
        <w:t>vs.</w:t>
      </w:r>
      <w:r w:rsidR="008D1827" w:rsidRPr="008D1827">
        <w:t xml:space="preserve"> RNA-based testing, and the practical choices that determine whether actionable alterations are identified in routine clinical care.</w:t>
      </w:r>
    </w:p>
    <w:sectPr w:rsidR="00D02448" w:rsidRPr="000B2E3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E38"/>
    <w:rsid w:val="000B2E38"/>
    <w:rsid w:val="00740588"/>
    <w:rsid w:val="008D1827"/>
    <w:rsid w:val="00B466CF"/>
    <w:rsid w:val="00B82203"/>
    <w:rsid w:val="00D0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24937"/>
  <w15:chartTrackingRefBased/>
  <w15:docId w15:val="{291F1914-20E5-4F0D-94CC-E6BECDDB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B2E3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2E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2E3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2E3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2E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2E3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2E3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2E3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2E3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B2E3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B2E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B2E3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B2E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B2E3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B2E3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B2E3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B2E3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B2E3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2E3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B2E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2E3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B2E3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B2E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B2E3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B2E3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B2E3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B2E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B2E3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B2E38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0B2E38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HCY</dc:creator>
  <cp:keywords/>
  <dc:description/>
  <cp:lastModifiedBy>HCY</cp:lastModifiedBy>
  <cp:revision>1</cp:revision>
  <dcterms:created xsi:type="dcterms:W3CDTF">2026-10-01T06:09:00Z</dcterms:created>
  <dcterms:modified xsi:type="dcterms:W3CDTF">2026-10-01T06:47:00Z</dcterms:modified>
</cp:coreProperties>
</file>