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08B03" w14:textId="4E25085B" w:rsidR="008C5921" w:rsidRDefault="008C5921" w:rsidP="005A1B5E">
      <w:pPr>
        <w:rPr>
          <w:b/>
          <w:bCs/>
        </w:rPr>
      </w:pPr>
      <w:r w:rsidRPr="0067432B">
        <w:rPr>
          <w:color w:val="222222"/>
          <w:sz w:val="26"/>
          <w:szCs w:val="26"/>
          <w:shd w:val="clear" w:color="auto" w:fill="FFFFFF"/>
        </w:rPr>
        <w:t>Early Suppression of Inflammation: The Role of Tezepelumab in Severe Asthma</w:t>
      </w:r>
    </w:p>
    <w:p w14:paraId="457C5711" w14:textId="634E73B8" w:rsidR="008C5921" w:rsidRDefault="008C5921" w:rsidP="005A1B5E">
      <w:pPr>
        <w:rPr>
          <w:b/>
          <w:bCs/>
        </w:rPr>
      </w:pPr>
      <w:r>
        <w:rPr>
          <w:rFonts w:hint="eastAsia"/>
          <w:b/>
          <w:bCs/>
        </w:rPr>
        <w:t>Speaker:</w:t>
      </w:r>
      <w:r>
        <w:rPr>
          <w:rFonts w:hint="eastAsia"/>
          <w:b/>
          <w:bCs/>
        </w:rPr>
        <w:t>黃虹綾醫師</w:t>
      </w:r>
    </w:p>
    <w:p w14:paraId="6E3BBE5E" w14:textId="77777777" w:rsidR="008C5921" w:rsidRPr="008C5921" w:rsidRDefault="008C5921" w:rsidP="008C5921">
      <w:pPr>
        <w:rPr>
          <w:rFonts w:hint="eastAsia"/>
          <w:b/>
          <w:bCs/>
        </w:rPr>
      </w:pPr>
      <w:r w:rsidRPr="008C5921">
        <w:rPr>
          <w:rFonts w:hint="eastAsia"/>
          <w:b/>
          <w:bCs/>
        </w:rPr>
        <w:t xml:space="preserve">Tezepelumab </w:t>
      </w:r>
      <w:proofErr w:type="gramStart"/>
      <w:r w:rsidRPr="008C5921">
        <w:rPr>
          <w:rFonts w:hint="eastAsia"/>
          <w:b/>
          <w:bCs/>
        </w:rPr>
        <w:t>為靶向上</w:t>
      </w:r>
      <w:proofErr w:type="gramEnd"/>
      <w:r w:rsidRPr="008C5921">
        <w:rPr>
          <w:rFonts w:hint="eastAsia"/>
          <w:b/>
          <w:bCs/>
        </w:rPr>
        <w:t>皮細胞來源細胞激素</w:t>
      </w:r>
      <w:r w:rsidRPr="008C5921">
        <w:rPr>
          <w:rFonts w:hint="eastAsia"/>
          <w:b/>
          <w:bCs/>
        </w:rPr>
        <w:t xml:space="preserve"> TSLP </w:t>
      </w:r>
      <w:r w:rsidRPr="008C5921">
        <w:rPr>
          <w:rFonts w:hint="eastAsia"/>
          <w:b/>
          <w:bCs/>
        </w:rPr>
        <w:t>的生物製劑，可作用於氣喘上游發炎路徑，降低多種下游發炎反應。對於同時具有</w:t>
      </w:r>
      <w:r w:rsidRPr="008C5921">
        <w:rPr>
          <w:rFonts w:hint="eastAsia"/>
          <w:b/>
          <w:bCs/>
        </w:rPr>
        <w:t xml:space="preserve"> Type 2 </w:t>
      </w:r>
      <w:r w:rsidRPr="008C5921">
        <w:rPr>
          <w:rFonts w:hint="eastAsia"/>
          <w:b/>
          <w:bCs/>
        </w:rPr>
        <w:t>高發炎特徵與非</w:t>
      </w:r>
      <w:r w:rsidRPr="008C5921">
        <w:rPr>
          <w:rFonts w:hint="eastAsia"/>
          <w:b/>
          <w:bCs/>
        </w:rPr>
        <w:t xml:space="preserve"> Type 2 </w:t>
      </w:r>
      <w:r w:rsidRPr="008C5921">
        <w:rPr>
          <w:rFonts w:hint="eastAsia"/>
          <w:b/>
          <w:bCs/>
        </w:rPr>
        <w:t>發炎表現的</w:t>
      </w:r>
      <w:r w:rsidRPr="008C5921">
        <w:rPr>
          <w:rFonts w:hint="eastAsia"/>
          <w:b/>
          <w:bCs/>
        </w:rPr>
        <w:t xml:space="preserve"> Mixed Type asthma </w:t>
      </w:r>
      <w:r w:rsidRPr="008C5921">
        <w:rPr>
          <w:rFonts w:hint="eastAsia"/>
          <w:b/>
          <w:bCs/>
        </w:rPr>
        <w:t>患者而言，其作用機轉具有潛在優勢。</w:t>
      </w:r>
    </w:p>
    <w:p w14:paraId="6132F396" w14:textId="77777777" w:rsidR="008C5921" w:rsidRPr="008C5921" w:rsidRDefault="008C5921" w:rsidP="008C5921">
      <w:pPr>
        <w:rPr>
          <w:rFonts w:hint="eastAsia"/>
          <w:b/>
          <w:bCs/>
        </w:rPr>
      </w:pPr>
      <w:r w:rsidRPr="008C5921">
        <w:rPr>
          <w:rFonts w:hint="eastAsia"/>
          <w:b/>
          <w:bCs/>
        </w:rPr>
        <w:t>臨床研究顯示，</w:t>
      </w:r>
      <w:proofErr w:type="spellStart"/>
      <w:r w:rsidRPr="008C5921">
        <w:rPr>
          <w:rFonts w:hint="eastAsia"/>
          <w:b/>
          <w:bCs/>
        </w:rPr>
        <w:t>tezepelumab</w:t>
      </w:r>
      <w:proofErr w:type="spellEnd"/>
      <w:r w:rsidRPr="008C5921">
        <w:rPr>
          <w:rFonts w:hint="eastAsia"/>
          <w:b/>
          <w:bCs/>
        </w:rPr>
        <w:t xml:space="preserve"> </w:t>
      </w:r>
      <w:r w:rsidRPr="008C5921">
        <w:rPr>
          <w:rFonts w:hint="eastAsia"/>
          <w:b/>
          <w:bCs/>
        </w:rPr>
        <w:t>可降低氣喘急性惡化風險並改善肺功能及症狀控制，而且療效並不完全侷限於高</w:t>
      </w:r>
      <w:r w:rsidRPr="008C5921">
        <w:rPr>
          <w:rFonts w:hint="eastAsia"/>
          <w:b/>
          <w:bCs/>
        </w:rPr>
        <w:t xml:space="preserve"> eosinophil </w:t>
      </w:r>
      <w:r w:rsidRPr="008C5921">
        <w:rPr>
          <w:rFonts w:hint="eastAsia"/>
          <w:b/>
          <w:bCs/>
        </w:rPr>
        <w:t>或高</w:t>
      </w:r>
      <w:r w:rsidRPr="008C5921">
        <w:rPr>
          <w:rFonts w:hint="eastAsia"/>
          <w:b/>
          <w:bCs/>
        </w:rPr>
        <w:t xml:space="preserve"> </w:t>
      </w:r>
      <w:proofErr w:type="spellStart"/>
      <w:r w:rsidRPr="008C5921">
        <w:rPr>
          <w:rFonts w:hint="eastAsia"/>
          <w:b/>
          <w:bCs/>
        </w:rPr>
        <w:t>FeNO</w:t>
      </w:r>
      <w:proofErr w:type="spellEnd"/>
      <w:r w:rsidRPr="008C5921">
        <w:rPr>
          <w:rFonts w:hint="eastAsia"/>
          <w:b/>
          <w:bCs/>
        </w:rPr>
        <w:t xml:space="preserve"> </w:t>
      </w:r>
      <w:r w:rsidRPr="008C5921">
        <w:rPr>
          <w:rFonts w:hint="eastAsia"/>
          <w:b/>
          <w:bCs/>
        </w:rPr>
        <w:t>患者。這代表對於具有混合型發炎表型、</w:t>
      </w:r>
      <w:r w:rsidRPr="008C5921">
        <w:rPr>
          <w:rFonts w:hint="eastAsia"/>
          <w:b/>
          <w:bCs/>
        </w:rPr>
        <w:t xml:space="preserve">Type 2 biomarker </w:t>
      </w:r>
      <w:r w:rsidRPr="008C5921">
        <w:rPr>
          <w:rFonts w:hint="eastAsia"/>
          <w:b/>
          <w:bCs/>
        </w:rPr>
        <w:t>表現不典型或不同生物標記呈現不一致的重度氣喘患者，</w:t>
      </w:r>
      <w:proofErr w:type="spellStart"/>
      <w:r w:rsidRPr="008C5921">
        <w:rPr>
          <w:rFonts w:hint="eastAsia"/>
          <w:b/>
          <w:bCs/>
        </w:rPr>
        <w:t>tezepelumab</w:t>
      </w:r>
      <w:proofErr w:type="spellEnd"/>
      <w:r w:rsidRPr="008C5921">
        <w:rPr>
          <w:rFonts w:hint="eastAsia"/>
          <w:b/>
          <w:bCs/>
        </w:rPr>
        <w:t xml:space="preserve"> </w:t>
      </w:r>
      <w:r w:rsidRPr="008C5921">
        <w:rPr>
          <w:rFonts w:hint="eastAsia"/>
          <w:b/>
          <w:bCs/>
        </w:rPr>
        <w:t>可能提供更廣泛的治療選擇。</w:t>
      </w:r>
    </w:p>
    <w:p w14:paraId="298B902E" w14:textId="707001D1" w:rsidR="008C5921" w:rsidRDefault="008C5921" w:rsidP="008C5921">
      <w:pPr>
        <w:rPr>
          <w:b/>
          <w:bCs/>
        </w:rPr>
      </w:pPr>
      <w:r w:rsidRPr="008C5921">
        <w:rPr>
          <w:rFonts w:hint="eastAsia"/>
          <w:b/>
          <w:bCs/>
        </w:rPr>
        <w:t>因此，對</w:t>
      </w:r>
      <w:r w:rsidRPr="008C5921">
        <w:rPr>
          <w:rFonts w:hint="eastAsia"/>
          <w:b/>
          <w:bCs/>
        </w:rPr>
        <w:t xml:space="preserve"> Mixed Type asthma </w:t>
      </w:r>
      <w:r w:rsidRPr="008C5921">
        <w:rPr>
          <w:rFonts w:hint="eastAsia"/>
          <w:b/>
          <w:bCs/>
        </w:rPr>
        <w:t>患者而言，與僅針對單一路徑的</w:t>
      </w:r>
      <w:r w:rsidRPr="008C5921">
        <w:rPr>
          <w:rFonts w:hint="eastAsia"/>
          <w:b/>
          <w:bCs/>
        </w:rPr>
        <w:t xml:space="preserve"> biologic </w:t>
      </w:r>
      <w:r w:rsidRPr="008C5921">
        <w:rPr>
          <w:rFonts w:hint="eastAsia"/>
          <w:b/>
          <w:bCs/>
        </w:rPr>
        <w:t>相比，直接抑制上游</w:t>
      </w:r>
      <w:r w:rsidRPr="008C5921">
        <w:rPr>
          <w:rFonts w:hint="eastAsia"/>
          <w:b/>
          <w:bCs/>
        </w:rPr>
        <w:t xml:space="preserve"> TSLP</w:t>
      </w:r>
      <w:r w:rsidRPr="008C5921">
        <w:rPr>
          <w:rFonts w:hint="eastAsia"/>
          <w:b/>
          <w:bCs/>
        </w:rPr>
        <w:t>、同時調控多種下游發炎路徑，是</w:t>
      </w:r>
      <w:r w:rsidRPr="008C5921">
        <w:rPr>
          <w:rFonts w:hint="eastAsia"/>
          <w:b/>
          <w:bCs/>
        </w:rPr>
        <w:t xml:space="preserve"> </w:t>
      </w:r>
      <w:proofErr w:type="spellStart"/>
      <w:r w:rsidRPr="008C5921">
        <w:rPr>
          <w:rFonts w:hint="eastAsia"/>
          <w:b/>
          <w:bCs/>
        </w:rPr>
        <w:t>tezepelumab</w:t>
      </w:r>
      <w:proofErr w:type="spellEnd"/>
      <w:r w:rsidRPr="008C5921">
        <w:rPr>
          <w:rFonts w:hint="eastAsia"/>
          <w:b/>
          <w:bCs/>
        </w:rPr>
        <w:t xml:space="preserve"> </w:t>
      </w:r>
      <w:r w:rsidRPr="008C5921">
        <w:rPr>
          <w:rFonts w:hint="eastAsia"/>
          <w:b/>
          <w:bCs/>
        </w:rPr>
        <w:t>的重要治療特色。</w:t>
      </w:r>
    </w:p>
    <w:p w14:paraId="43593584" w14:textId="77777777" w:rsidR="008C5921" w:rsidRDefault="008C5921" w:rsidP="008C5921">
      <w:pPr>
        <w:rPr>
          <w:b/>
          <w:bCs/>
        </w:rPr>
      </w:pPr>
    </w:p>
    <w:p w14:paraId="149348E1" w14:textId="77777777" w:rsidR="008C5921" w:rsidRPr="008C5921" w:rsidRDefault="008C5921" w:rsidP="008C5921">
      <w:pPr>
        <w:rPr>
          <w:rFonts w:hint="eastAsia"/>
          <w:b/>
          <w:bCs/>
        </w:rPr>
      </w:pPr>
    </w:p>
    <w:p w14:paraId="01C63F89" w14:textId="28B1BBBF" w:rsidR="005A1B5E" w:rsidRPr="005A1B5E" w:rsidRDefault="005A1B5E" w:rsidP="005A1B5E">
      <w:pPr>
        <w:rPr>
          <w:b/>
          <w:bCs/>
        </w:rPr>
      </w:pPr>
      <w:r>
        <w:rPr>
          <w:b/>
          <w:bCs/>
        </w:rPr>
        <w:t xml:space="preserve">Topic: </w:t>
      </w:r>
      <w:r w:rsidRPr="005A1B5E">
        <w:rPr>
          <w:b/>
          <w:bCs/>
        </w:rPr>
        <w:t>Airway Remodeling, Mixed Phenotypes, and the Therapeutic Value of Mepolizumab</w:t>
      </w:r>
    </w:p>
    <w:p w14:paraId="6AABB10D" w14:textId="3D88BD17" w:rsidR="005A1B5E" w:rsidRDefault="005A1B5E" w:rsidP="005A1B5E">
      <w:r>
        <w:t xml:space="preserve">Speaker: </w:t>
      </w:r>
      <w:r>
        <w:rPr>
          <w:rFonts w:hint="eastAsia"/>
        </w:rPr>
        <w:t>大里仁愛</w:t>
      </w:r>
      <w:r>
        <w:rPr>
          <w:rFonts w:hint="eastAsia"/>
        </w:rPr>
        <w:t xml:space="preserve"> </w:t>
      </w:r>
      <w:r>
        <w:rPr>
          <w:rFonts w:hint="eastAsia"/>
        </w:rPr>
        <w:t>張哲嘉</w:t>
      </w:r>
      <w:r>
        <w:rPr>
          <w:rFonts w:hint="eastAsia"/>
        </w:rPr>
        <w:t xml:space="preserve"> </w:t>
      </w:r>
      <w:r>
        <w:rPr>
          <w:rFonts w:hint="eastAsia"/>
        </w:rPr>
        <w:t>醫師</w:t>
      </w:r>
    </w:p>
    <w:p w14:paraId="2D801867" w14:textId="6476FBFB" w:rsidR="005A1B5E" w:rsidRPr="005A1B5E" w:rsidRDefault="005A1B5E" w:rsidP="005A1B5E">
      <w:r>
        <w:t xml:space="preserve">Abstract: </w:t>
      </w:r>
      <w:r w:rsidRPr="005A1B5E">
        <w:t>Airway remodeling is a hallmark of chronic inflammatory airway diseases and contributes to progressive airflow limitation, symptom burden, and poor clinical outcomes. Traditionally associated with severe asthma, structural airway changes are increasingly recognized across a spectrum of respiratory conditions, including chronic obstructive pulmonary disease (COPD) and eosinophilic airway diseases. The coexistence of multiple inflammatory and clinical characteristics, often referred to as mixed phenotypes, presents a significant challenge in disease assessment and treatment selection.</w:t>
      </w:r>
    </w:p>
    <w:p w14:paraId="2634F2A6" w14:textId="77777777" w:rsidR="005A1B5E" w:rsidRPr="005A1B5E" w:rsidRDefault="005A1B5E" w:rsidP="005A1B5E">
      <w:r w:rsidRPr="005A1B5E">
        <w:t>In recent years, growing evidence has highlighted the importance of Type 2 (T2) inflammation, particularly eosinophilic inflammation, as a key driver of disease activity in a subset of patients with asthma and COPD. These patients frequently exhibit overlapping features, including persistent exacerbations, airflow obstruction, mucus hypersecretion, and evidence of airway remodeling. Conventional treatment approaches may inadequately address the underlying biology responsible for ongoing disease progression.</w:t>
      </w:r>
    </w:p>
    <w:p w14:paraId="584DA2DE" w14:textId="77777777" w:rsidR="005A1B5E" w:rsidRPr="005A1B5E" w:rsidRDefault="005A1B5E" w:rsidP="005A1B5E">
      <w:r w:rsidRPr="005A1B5E">
        <w:t xml:space="preserve">Mepolizumab, a monoclonal antibody targeting interleukin-5 (IL-5), offers a precision medicine </w:t>
      </w:r>
      <w:r w:rsidRPr="005A1B5E">
        <w:lastRenderedPageBreak/>
        <w:t>approach by selectively reducing eosinophilic inflammation. Clinical studies have demonstrated that mepolizumab significantly reduces exacerbation rates, improves disease control, and decreases systemic corticosteroid dependence in patients with eosinophilic respiratory diseases. Beyond symptom management, emerging data suggest that effective suppression of eosinophilic inflammation may contribute to reducing the biological processes associated with airway remodeling and long-term disease progression.</w:t>
      </w:r>
    </w:p>
    <w:p w14:paraId="356E1350" w14:textId="77777777" w:rsidR="005A1B5E" w:rsidRPr="005A1B5E" w:rsidRDefault="005A1B5E" w:rsidP="005A1B5E">
      <w:r w:rsidRPr="005A1B5E">
        <w:t>This presentation will review the current understanding of airway remodeling in mixed inflammatory phenotypes, discuss the role of eosinophils as a therapeutic target, and examine the clinical evidence supporting mepolizumab across eosinophilic airway diseases. By focusing on treatable traits rather than traditional disease labels, clinicians may better identify patients who can benefit from targeted IL-5 inhibition and improve outcomes in this complex and evolving patient population.</w:t>
      </w:r>
    </w:p>
    <w:p w14:paraId="5E674C6E" w14:textId="3E7FCA72" w:rsidR="008C5921" w:rsidRDefault="008C5921">
      <w:pPr>
        <w:rPr>
          <w:rFonts w:hint="eastAsia"/>
          <w:color w:val="222222"/>
          <w:sz w:val="26"/>
          <w:szCs w:val="26"/>
          <w:shd w:val="clear" w:color="auto" w:fill="FFFFFF"/>
        </w:rPr>
      </w:pPr>
    </w:p>
    <w:p w14:paraId="1B86101E" w14:textId="58981410" w:rsidR="005A1B5E" w:rsidRDefault="008C5921">
      <w:pPr>
        <w:rPr>
          <w:color w:val="222222"/>
          <w:sz w:val="26"/>
          <w:szCs w:val="26"/>
          <w:shd w:val="clear" w:color="auto" w:fill="FFFFFF"/>
        </w:rPr>
      </w:pPr>
      <w:proofErr w:type="spellStart"/>
      <w:proofErr w:type="gramStart"/>
      <w:r>
        <w:rPr>
          <w:rFonts w:hint="eastAsia"/>
          <w:color w:val="222222"/>
          <w:sz w:val="26"/>
          <w:szCs w:val="26"/>
          <w:shd w:val="clear" w:color="auto" w:fill="FFFFFF"/>
        </w:rPr>
        <w:t>Topic:</w:t>
      </w:r>
      <w:r w:rsidRPr="00A258CE">
        <w:rPr>
          <w:color w:val="222222"/>
          <w:sz w:val="26"/>
          <w:szCs w:val="26"/>
          <w:shd w:val="clear" w:color="auto" w:fill="FFFFFF"/>
        </w:rPr>
        <w:t>Beyond</w:t>
      </w:r>
      <w:proofErr w:type="spellEnd"/>
      <w:proofErr w:type="gramEnd"/>
      <w:r w:rsidRPr="00A258CE">
        <w:rPr>
          <w:color w:val="222222"/>
          <w:sz w:val="26"/>
          <w:szCs w:val="26"/>
          <w:shd w:val="clear" w:color="auto" w:fill="FFFFFF"/>
        </w:rPr>
        <w:t xml:space="preserve"> the Molecule: Tailoring Device Selection to Individual Patient Needs</w:t>
      </w:r>
    </w:p>
    <w:p w14:paraId="67EB51C1" w14:textId="2AC03061" w:rsidR="008C5921" w:rsidRDefault="008C5921">
      <w:pPr>
        <w:rPr>
          <w:rFonts w:ascii="Times New Roman" w:eastAsia="標楷體" w:hAnsi="Times New Roman"/>
          <w:sz w:val="28"/>
          <w:szCs w:val="28"/>
        </w:rPr>
      </w:pPr>
      <w:r>
        <w:rPr>
          <w:rFonts w:ascii="Times New Roman" w:eastAsia="標楷體" w:hAnsi="Times New Roman" w:hint="eastAsia"/>
          <w:sz w:val="28"/>
          <w:szCs w:val="28"/>
        </w:rPr>
        <w:t>蕭惠元醫師</w:t>
      </w:r>
    </w:p>
    <w:p w14:paraId="74F07271" w14:textId="027E9A1B" w:rsidR="008C5921" w:rsidRDefault="008C5921">
      <w:r w:rsidRPr="008C5921">
        <w:rPr>
          <w:rFonts w:hint="eastAsia"/>
        </w:rPr>
        <w:t>探討慢性阻塞性肺病（</w:t>
      </w:r>
      <w:r w:rsidRPr="008C5921">
        <w:rPr>
          <w:rFonts w:hint="eastAsia"/>
        </w:rPr>
        <w:t>COPD</w:t>
      </w:r>
      <w:r w:rsidRPr="008C5921">
        <w:rPr>
          <w:rFonts w:hint="eastAsia"/>
        </w:rPr>
        <w:t>）與呼吸道疾病治療在臨床照護及環境永續上的雙重價值。透過</w:t>
      </w:r>
      <w:r w:rsidRPr="008C5921">
        <w:rPr>
          <w:rFonts w:hint="eastAsia"/>
        </w:rPr>
        <w:t xml:space="preserve">GOLD 2026 </w:t>
      </w:r>
      <w:r w:rsidRPr="008C5921">
        <w:rPr>
          <w:rFonts w:hint="eastAsia"/>
        </w:rPr>
        <w:t>指引趨勢，說明疾病控制、急性惡化預防與長期治療策略的重要性，並進一步探討如何根據病人特性選擇最適合的吸入治療裝置。內容涵蓋不同吸入器類型，包括定量噴霧吸入器（</w:t>
      </w:r>
      <w:proofErr w:type="spellStart"/>
      <w:r w:rsidRPr="008C5921">
        <w:rPr>
          <w:rFonts w:hint="eastAsia"/>
        </w:rPr>
        <w:t>pMDI</w:t>
      </w:r>
      <w:proofErr w:type="spellEnd"/>
      <w:r w:rsidRPr="008C5921">
        <w:rPr>
          <w:rFonts w:hint="eastAsia"/>
        </w:rPr>
        <w:t>）、乾粉吸入器（</w:t>
      </w:r>
      <w:r w:rsidRPr="008C5921">
        <w:rPr>
          <w:rFonts w:hint="eastAsia"/>
        </w:rPr>
        <w:t>DPI</w:t>
      </w:r>
      <w:r w:rsidRPr="008C5921">
        <w:rPr>
          <w:rFonts w:hint="eastAsia"/>
        </w:rPr>
        <w:t>）</w:t>
      </w:r>
      <w:proofErr w:type="gramStart"/>
      <w:r w:rsidRPr="008C5921">
        <w:rPr>
          <w:rFonts w:hint="eastAsia"/>
        </w:rPr>
        <w:t>及軟霧吸入</w:t>
      </w:r>
      <w:proofErr w:type="gramEnd"/>
      <w:r w:rsidRPr="008C5921">
        <w:rPr>
          <w:rFonts w:hint="eastAsia"/>
        </w:rPr>
        <w:t>器（</w:t>
      </w:r>
      <w:r w:rsidRPr="008C5921">
        <w:rPr>
          <w:rFonts w:hint="eastAsia"/>
        </w:rPr>
        <w:t>SMI</w:t>
      </w:r>
      <w:r w:rsidRPr="008C5921">
        <w:rPr>
          <w:rFonts w:hint="eastAsia"/>
        </w:rPr>
        <w:t>）之作用特性、操作需求及適用病人族群，協助醫療人員依據患者吸氣能力、操作技巧、治療需求及順從性等因素，落實「為正確病人選擇正確吸入劑（</w:t>
      </w:r>
      <w:r w:rsidRPr="008C5921">
        <w:rPr>
          <w:rFonts w:hint="eastAsia"/>
        </w:rPr>
        <w:t>Right inhaler for the right patient</w:t>
      </w:r>
      <w:r w:rsidRPr="008C5921">
        <w:rPr>
          <w:rFonts w:hint="eastAsia"/>
        </w:rPr>
        <w:t>）」的個人化治療原則。同步強調分享醫療照護與氣候變遷之關聯，說明不同吸入</w:t>
      </w:r>
      <w:proofErr w:type="gramStart"/>
      <w:r w:rsidRPr="008C5921">
        <w:rPr>
          <w:rFonts w:hint="eastAsia"/>
        </w:rPr>
        <w:t>裝置對碳足跡</w:t>
      </w:r>
      <w:proofErr w:type="gramEnd"/>
      <w:r w:rsidRPr="008C5921">
        <w:rPr>
          <w:rFonts w:hint="eastAsia"/>
        </w:rPr>
        <w:t>與環境影響的差異，並介紹</w:t>
      </w:r>
      <w:proofErr w:type="gramStart"/>
      <w:r w:rsidRPr="008C5921">
        <w:rPr>
          <w:rFonts w:hint="eastAsia"/>
        </w:rPr>
        <w:t>低碳排治療</w:t>
      </w:r>
      <w:proofErr w:type="gramEnd"/>
      <w:r w:rsidRPr="008C5921">
        <w:rPr>
          <w:rFonts w:hint="eastAsia"/>
        </w:rPr>
        <w:t>方案於臨床實務中的應用。透過兼顧療效、安全性、病人使用便利性及環境永續的整體觀點，提升醫療人員在呼吸疾病治療上的臨床決策能力，推動高品質</w:t>
      </w:r>
      <w:proofErr w:type="gramStart"/>
      <w:r w:rsidRPr="008C5921">
        <w:rPr>
          <w:rFonts w:hint="eastAsia"/>
        </w:rPr>
        <w:t>且具永續</w:t>
      </w:r>
      <w:proofErr w:type="gramEnd"/>
      <w:r w:rsidRPr="008C5921">
        <w:rPr>
          <w:rFonts w:hint="eastAsia"/>
        </w:rPr>
        <w:t>價值之醫療照護。</w:t>
      </w:r>
    </w:p>
    <w:p w14:paraId="3E8EFB7B" w14:textId="77777777" w:rsidR="008C5921" w:rsidRDefault="008C5921"/>
    <w:p w14:paraId="0A5FADF2" w14:textId="77777777" w:rsidR="008C5921" w:rsidRPr="00AB2CAB" w:rsidRDefault="008C5921" w:rsidP="008C5921">
      <w:pPr>
        <w:pStyle w:val="Web"/>
        <w:spacing w:before="0" w:beforeAutospacing="0" w:after="0" w:afterAutospacing="0" w:line="324" w:lineRule="atLeast"/>
        <w:rPr>
          <w:rFonts w:ascii="Times New Roman" w:eastAsia="標楷體" w:hAnsi="Times New Roman" w:cs="Times New Roman" w:hint="eastAsia"/>
          <w:sz w:val="26"/>
          <w:szCs w:val="26"/>
        </w:rPr>
      </w:pPr>
      <w:r w:rsidRPr="00801663">
        <w:rPr>
          <w:rFonts w:ascii="Times New Roman" w:eastAsia="標楷體" w:hAnsi="Times New Roman"/>
          <w:sz w:val="26"/>
          <w:szCs w:val="26"/>
        </w:rPr>
        <w:t xml:space="preserve">Lung Fibrosis Across </w:t>
      </w:r>
      <w:proofErr w:type="gramStart"/>
      <w:r w:rsidRPr="00801663">
        <w:rPr>
          <w:rFonts w:ascii="Times New Roman" w:eastAsia="標楷體" w:hAnsi="Times New Roman"/>
          <w:sz w:val="26"/>
          <w:szCs w:val="26"/>
        </w:rPr>
        <w:t>The</w:t>
      </w:r>
      <w:proofErr w:type="gramEnd"/>
      <w:r w:rsidRPr="00801663">
        <w:rPr>
          <w:rFonts w:ascii="Times New Roman" w:eastAsia="標楷體" w:hAnsi="Times New Roman"/>
          <w:sz w:val="26"/>
          <w:szCs w:val="26"/>
        </w:rPr>
        <w:t xml:space="preserve"> Lifespan: Emerging Opportunities </w:t>
      </w:r>
      <w:proofErr w:type="gramStart"/>
      <w:r w:rsidRPr="00801663">
        <w:rPr>
          <w:rFonts w:ascii="Times New Roman" w:eastAsia="標楷體" w:hAnsi="Times New Roman"/>
          <w:sz w:val="26"/>
          <w:szCs w:val="26"/>
        </w:rPr>
        <w:t>For</w:t>
      </w:r>
      <w:proofErr w:type="gramEnd"/>
      <w:r w:rsidRPr="00801663">
        <w:rPr>
          <w:rFonts w:ascii="Times New Roman" w:eastAsia="標楷體" w:hAnsi="Times New Roman"/>
          <w:sz w:val="26"/>
          <w:szCs w:val="26"/>
        </w:rPr>
        <w:t xml:space="preserve"> Intervention</w:t>
      </w:r>
    </w:p>
    <w:p w14:paraId="0B8F6F10" w14:textId="24B9BA1C" w:rsidR="008C5921" w:rsidRDefault="008C5921">
      <w:r>
        <w:rPr>
          <w:rFonts w:hint="eastAsia"/>
        </w:rPr>
        <w:t>黃國棟醫師</w:t>
      </w:r>
    </w:p>
    <w:p w14:paraId="21D6317B" w14:textId="77777777" w:rsidR="008C5921" w:rsidRDefault="008C5921" w:rsidP="008C5921">
      <w:pPr>
        <w:rPr>
          <w:rFonts w:hint="eastAsia"/>
        </w:rPr>
      </w:pPr>
      <w:r>
        <w:rPr>
          <w:rFonts w:hint="eastAsia"/>
        </w:rPr>
        <w:t>肺纖維化無論是</w:t>
      </w:r>
      <w:r>
        <w:rPr>
          <w:rFonts w:hint="eastAsia"/>
        </w:rPr>
        <w:t xml:space="preserve"> IPF </w:t>
      </w:r>
      <w:r>
        <w:rPr>
          <w:rFonts w:hint="eastAsia"/>
        </w:rPr>
        <w:t>或</w:t>
      </w:r>
      <w:r>
        <w:rPr>
          <w:rFonts w:hint="eastAsia"/>
        </w:rPr>
        <w:t xml:space="preserve"> PPF</w:t>
      </w:r>
      <w:r>
        <w:rPr>
          <w:rFonts w:hint="eastAsia"/>
        </w:rPr>
        <w:t>，雖已有抗纖維化治療可延緩肺功能下降，但疾病仍持續進展，</w:t>
      </w:r>
      <w:r>
        <w:rPr>
          <w:rFonts w:hint="eastAsia"/>
        </w:rPr>
        <w:lastRenderedPageBreak/>
        <w:t>患者預後與存活率仍有明顯未被滿足的需求。</w:t>
      </w:r>
      <w:proofErr w:type="spellStart"/>
      <w:r>
        <w:rPr>
          <w:rFonts w:hint="eastAsia"/>
        </w:rPr>
        <w:t>Nerandomilast</w:t>
      </w:r>
      <w:proofErr w:type="spellEnd"/>
      <w:r>
        <w:rPr>
          <w:rFonts w:hint="eastAsia"/>
        </w:rPr>
        <w:t>是首</w:t>
      </w:r>
      <w:proofErr w:type="gramStart"/>
      <w:r>
        <w:rPr>
          <w:rFonts w:hint="eastAsia"/>
        </w:rPr>
        <w:t>個</w:t>
      </w:r>
      <w:proofErr w:type="gramEnd"/>
      <w:r>
        <w:rPr>
          <w:rFonts w:hint="eastAsia"/>
        </w:rPr>
        <w:t>選擇性</w:t>
      </w:r>
      <w:r>
        <w:rPr>
          <w:rFonts w:hint="eastAsia"/>
        </w:rPr>
        <w:t xml:space="preserve"> PDE4B </w:t>
      </w:r>
      <w:r>
        <w:rPr>
          <w:rFonts w:hint="eastAsia"/>
        </w:rPr>
        <w:t>抑制劑，透過調節發炎反應、抑制纖維化路徑及改善血管功能，提供不同於現有治療的新機轉。</w:t>
      </w:r>
      <w:r>
        <w:rPr>
          <w:rFonts w:hint="eastAsia"/>
        </w:rPr>
        <w:t xml:space="preserve">  </w:t>
      </w:r>
    </w:p>
    <w:p w14:paraId="2FEFA480" w14:textId="31350C9B" w:rsidR="008C5921" w:rsidRDefault="008C5921" w:rsidP="008C5921">
      <w:r>
        <w:rPr>
          <w:rFonts w:hint="eastAsia"/>
        </w:rPr>
        <w:t>在</w:t>
      </w:r>
      <w:r>
        <w:rPr>
          <w:rFonts w:hint="eastAsia"/>
        </w:rPr>
        <w:t xml:space="preserve"> FIBRONEER-IPF </w:t>
      </w:r>
      <w:r>
        <w:rPr>
          <w:rFonts w:hint="eastAsia"/>
        </w:rPr>
        <w:t>與</w:t>
      </w:r>
      <w:r>
        <w:rPr>
          <w:rFonts w:hint="eastAsia"/>
        </w:rPr>
        <w:t xml:space="preserve"> FIBRONEER-ILD </w:t>
      </w:r>
      <w:r>
        <w:rPr>
          <w:rFonts w:hint="eastAsia"/>
        </w:rPr>
        <w:t>第三期臨床試驗中，</w:t>
      </w:r>
      <w:proofErr w:type="spellStart"/>
      <w:r>
        <w:rPr>
          <w:rFonts w:hint="eastAsia"/>
        </w:rPr>
        <w:t>Nerandomilast</w:t>
      </w:r>
      <w:proofErr w:type="spellEnd"/>
      <w:r>
        <w:rPr>
          <w:rFonts w:hint="eastAsia"/>
        </w:rPr>
        <w:t xml:space="preserve"> 18 mg BID </w:t>
      </w:r>
      <w:r>
        <w:rPr>
          <w:rFonts w:hint="eastAsia"/>
        </w:rPr>
        <w:t>均成功達成主要終點，顯著降低</w:t>
      </w:r>
      <w:r>
        <w:rPr>
          <w:rFonts w:hint="eastAsia"/>
        </w:rPr>
        <w:t xml:space="preserve"> FVC </w:t>
      </w:r>
      <w:r>
        <w:rPr>
          <w:rFonts w:hint="eastAsia"/>
        </w:rPr>
        <w:t>下降幅度，分別於</w:t>
      </w:r>
      <w:r>
        <w:rPr>
          <w:rFonts w:hint="eastAsia"/>
        </w:rPr>
        <w:t xml:space="preserve"> IPF </w:t>
      </w:r>
      <w:r>
        <w:rPr>
          <w:rFonts w:hint="eastAsia"/>
        </w:rPr>
        <w:t>與</w:t>
      </w:r>
      <w:r>
        <w:rPr>
          <w:rFonts w:hint="eastAsia"/>
        </w:rPr>
        <w:t xml:space="preserve"> PPF </w:t>
      </w:r>
      <w:r>
        <w:rPr>
          <w:rFonts w:hint="eastAsia"/>
        </w:rPr>
        <w:t>患者展現約</w:t>
      </w:r>
      <w:r>
        <w:rPr>
          <w:rFonts w:hint="eastAsia"/>
        </w:rPr>
        <w:t xml:space="preserve"> 38% </w:t>
      </w:r>
      <w:r>
        <w:rPr>
          <w:rFonts w:hint="eastAsia"/>
        </w:rPr>
        <w:t>及</w:t>
      </w:r>
      <w:r>
        <w:rPr>
          <w:rFonts w:hint="eastAsia"/>
        </w:rPr>
        <w:t xml:space="preserve"> 41% </w:t>
      </w:r>
      <w:r>
        <w:rPr>
          <w:rFonts w:hint="eastAsia"/>
        </w:rPr>
        <w:t>的肺功能保留效果，同時在死亡風險及疾病惡化相關終點上呈現正向趨勢。其療效在不同患者族群，包括合併使用</w:t>
      </w:r>
      <w:r>
        <w:rPr>
          <w:rFonts w:hint="eastAsia"/>
        </w:rPr>
        <w:t xml:space="preserve"> </w:t>
      </w:r>
      <w:proofErr w:type="spellStart"/>
      <w:r>
        <w:rPr>
          <w:rFonts w:hint="eastAsia"/>
        </w:rPr>
        <w:t>nintedanib</w:t>
      </w:r>
      <w:proofErr w:type="spellEnd"/>
      <w:r>
        <w:rPr>
          <w:rFonts w:hint="eastAsia"/>
        </w:rPr>
        <w:t xml:space="preserve"> </w:t>
      </w:r>
      <w:r>
        <w:rPr>
          <w:rFonts w:hint="eastAsia"/>
        </w:rPr>
        <w:t>及自體免疫相關</w:t>
      </w:r>
      <w:r>
        <w:rPr>
          <w:rFonts w:hint="eastAsia"/>
        </w:rPr>
        <w:t xml:space="preserve"> ILD </w:t>
      </w:r>
      <w:r>
        <w:rPr>
          <w:rFonts w:hint="eastAsia"/>
        </w:rPr>
        <w:t>患者中皆維持一致。</w:t>
      </w:r>
      <w:proofErr w:type="gramStart"/>
      <w:r>
        <w:rPr>
          <w:rFonts w:hint="eastAsia"/>
        </w:rPr>
        <w:t>此外，</w:t>
      </w:r>
      <w:proofErr w:type="gramEnd"/>
      <w:r>
        <w:rPr>
          <w:rFonts w:hint="eastAsia"/>
        </w:rPr>
        <w:t>整體安全性與耐受性良好，雖腹瀉為最常見副作用，但停藥比例低，支持長期治療的可行性。</w:t>
      </w:r>
      <w:proofErr w:type="spellStart"/>
      <w:r>
        <w:rPr>
          <w:rFonts w:hint="eastAsia"/>
        </w:rPr>
        <w:t>Nerandomilast</w:t>
      </w:r>
      <w:proofErr w:type="spellEnd"/>
      <w:r>
        <w:rPr>
          <w:rFonts w:hint="eastAsia"/>
        </w:rPr>
        <w:t xml:space="preserve"> </w:t>
      </w:r>
      <w:r>
        <w:rPr>
          <w:rFonts w:hint="eastAsia"/>
        </w:rPr>
        <w:t>的出現，為肺纖維化患者帶來新的治療選擇與臨床希望</w:t>
      </w:r>
    </w:p>
    <w:p w14:paraId="13A52819" w14:textId="77777777" w:rsidR="008C5921" w:rsidRDefault="008C5921" w:rsidP="008C5921"/>
    <w:p w14:paraId="174FAE30" w14:textId="19A5E98D" w:rsidR="008C5921" w:rsidRDefault="008C5921" w:rsidP="008C5921">
      <w:pPr>
        <w:rPr>
          <w:rFonts w:ascii="Times New Roman" w:eastAsia="標楷體" w:hAnsi="Times New Roman"/>
          <w:sz w:val="26"/>
          <w:szCs w:val="26"/>
        </w:rPr>
      </w:pPr>
      <w:r w:rsidRPr="00847603">
        <w:rPr>
          <w:rFonts w:ascii="Times New Roman" w:eastAsia="標楷體" w:hAnsi="Times New Roman"/>
          <w:sz w:val="26"/>
          <w:szCs w:val="26"/>
        </w:rPr>
        <w:t>Timely Escalation, Better Control: Identifying the right Time for triple therapy in COPD</w:t>
      </w:r>
    </w:p>
    <w:p w14:paraId="6B94F51C" w14:textId="4D3B5FF1" w:rsidR="008C5921" w:rsidRDefault="008C5921" w:rsidP="008C5921">
      <w:pPr>
        <w:rPr>
          <w:rFonts w:ascii="Times New Roman" w:eastAsia="標楷體" w:hAnsi="Times New Roman"/>
          <w:sz w:val="26"/>
          <w:szCs w:val="26"/>
        </w:rPr>
      </w:pPr>
      <w:r>
        <w:rPr>
          <w:rFonts w:ascii="Times New Roman" w:eastAsia="標楷體" w:hAnsi="Times New Roman" w:hint="eastAsia"/>
          <w:sz w:val="26"/>
          <w:szCs w:val="26"/>
        </w:rPr>
        <w:t>潘奕宏醫師</w:t>
      </w:r>
    </w:p>
    <w:p w14:paraId="329C3381" w14:textId="77777777" w:rsidR="008C5921" w:rsidRDefault="008C5921" w:rsidP="008C5921">
      <w:r>
        <w:rPr>
          <w:rFonts w:hint="eastAsia"/>
        </w:rPr>
        <w:t>慢性阻塞性肺病（</w:t>
      </w:r>
      <w:r>
        <w:t>COPD</w:t>
      </w:r>
      <w:r>
        <w:rPr>
          <w:rFonts w:hint="eastAsia"/>
        </w:rPr>
        <w:t>）是一種具有高度異質性的慢性呼吸道疾病，患者除了持續性症狀與肺功能下降外，急性惡化（</w:t>
      </w:r>
      <w:r>
        <w:t>exacerbation</w:t>
      </w:r>
      <w:r>
        <w:rPr>
          <w:rFonts w:hint="eastAsia"/>
        </w:rPr>
        <w:t>）更是影響疾病進程、生活品質及死亡風險的重要因素。隨著治療觀念從單純改善症狀逐漸轉向降低未來風險，如何在適當時機由雙合一治療升級至吸入型類固醇合併長效β</w:t>
      </w:r>
      <w:r>
        <w:t>₂</w:t>
      </w:r>
      <w:r>
        <w:rPr>
          <w:rFonts w:hint="eastAsia"/>
        </w:rPr>
        <w:t>致效劑及長效抗膽鹼藥物（</w:t>
      </w:r>
      <w:r>
        <w:t>ICS/LABA/LAMA</w:t>
      </w:r>
      <w:r>
        <w:rPr>
          <w:rFonts w:hint="eastAsia"/>
        </w:rPr>
        <w:t>）三合一治療，成為臨床照護的重要議題。</w:t>
      </w:r>
    </w:p>
    <w:p w14:paraId="2D70A213" w14:textId="77777777" w:rsidR="008C5921" w:rsidRDefault="008C5921" w:rsidP="008C5921"/>
    <w:p w14:paraId="55066DF2" w14:textId="77777777" w:rsidR="008C5921" w:rsidRDefault="008C5921" w:rsidP="008C5921">
      <w:pPr>
        <w:rPr>
          <w:rFonts w:hint="eastAsia"/>
        </w:rPr>
      </w:pPr>
      <w:r>
        <w:rPr>
          <w:rFonts w:hint="eastAsia"/>
        </w:rPr>
        <w:t>目前</w:t>
      </w:r>
      <w:r>
        <w:rPr>
          <w:rFonts w:hint="eastAsia"/>
        </w:rPr>
        <w:t xml:space="preserve"> COPD </w:t>
      </w:r>
      <w:r>
        <w:rPr>
          <w:rFonts w:hint="eastAsia"/>
        </w:rPr>
        <w:t>治療策略強調依據患者的症狀、急性惡化史、血液</w:t>
      </w:r>
      <w:proofErr w:type="gramStart"/>
      <w:r>
        <w:rPr>
          <w:rFonts w:hint="eastAsia"/>
        </w:rPr>
        <w:t>嗜</w:t>
      </w:r>
      <w:proofErr w:type="gramEnd"/>
      <w:r>
        <w:rPr>
          <w:rFonts w:hint="eastAsia"/>
        </w:rPr>
        <w:t>酸性球（</w:t>
      </w:r>
      <w:r>
        <w:rPr>
          <w:rFonts w:hint="eastAsia"/>
        </w:rPr>
        <w:t>blood eosinophil count</w:t>
      </w:r>
      <w:r>
        <w:rPr>
          <w:rFonts w:hint="eastAsia"/>
        </w:rPr>
        <w:t>）及肺炎風險等因素進行個人化治療。對於接受</w:t>
      </w:r>
      <w:r>
        <w:rPr>
          <w:rFonts w:hint="eastAsia"/>
        </w:rPr>
        <w:t xml:space="preserve"> LABA/LAMA </w:t>
      </w:r>
      <w:r>
        <w:rPr>
          <w:rFonts w:hint="eastAsia"/>
        </w:rPr>
        <w:t>後仍反覆急性惡化，尤其具有</w:t>
      </w:r>
      <w:proofErr w:type="gramStart"/>
      <w:r>
        <w:rPr>
          <w:rFonts w:hint="eastAsia"/>
        </w:rPr>
        <w:t>較高嗜酸性</w:t>
      </w:r>
      <w:proofErr w:type="gramEnd"/>
      <w:r>
        <w:rPr>
          <w:rFonts w:hint="eastAsia"/>
        </w:rPr>
        <w:t>球比例的患者，適時加入</w:t>
      </w:r>
      <w:r>
        <w:rPr>
          <w:rFonts w:hint="eastAsia"/>
        </w:rPr>
        <w:t xml:space="preserve"> ICS </w:t>
      </w:r>
      <w:r>
        <w:rPr>
          <w:rFonts w:hint="eastAsia"/>
        </w:rPr>
        <w:t>可能帶來更佳的急性惡化預防效果。臨床研究亦顯示，三合一治療相較於雙合一治療，可進一步降低部分高風險</w:t>
      </w:r>
      <w:r>
        <w:rPr>
          <w:rFonts w:hint="eastAsia"/>
        </w:rPr>
        <w:t xml:space="preserve"> COPD </w:t>
      </w:r>
      <w:r>
        <w:rPr>
          <w:rFonts w:hint="eastAsia"/>
        </w:rPr>
        <w:t>患者的中重度急性惡化，並改善肺功能及健康相關生活品質。</w:t>
      </w:r>
    </w:p>
    <w:p w14:paraId="72B4BBD8" w14:textId="77777777" w:rsidR="008C5921" w:rsidRDefault="008C5921" w:rsidP="008C5921"/>
    <w:p w14:paraId="19812950" w14:textId="1A9752FE" w:rsidR="008C5921" w:rsidRPr="008C5921" w:rsidRDefault="008C5921" w:rsidP="008C5921">
      <w:pPr>
        <w:rPr>
          <w:rFonts w:hint="eastAsia"/>
        </w:rPr>
      </w:pPr>
      <w:r>
        <w:rPr>
          <w:rFonts w:hint="eastAsia"/>
        </w:rPr>
        <w:t>因此，「何時升級」不應僅以症狀控制</w:t>
      </w:r>
      <w:proofErr w:type="gramStart"/>
      <w:r>
        <w:rPr>
          <w:rFonts w:hint="eastAsia"/>
        </w:rPr>
        <w:t>不</w:t>
      </w:r>
      <w:proofErr w:type="gramEnd"/>
      <w:r>
        <w:rPr>
          <w:rFonts w:hint="eastAsia"/>
        </w:rPr>
        <w:t>佳作為判斷，而應及早辨識具有急性惡化風險及可能受益於</w:t>
      </w:r>
      <w:r>
        <w:rPr>
          <w:rFonts w:hint="eastAsia"/>
        </w:rPr>
        <w:t xml:space="preserve"> ICS </w:t>
      </w:r>
      <w:r>
        <w:rPr>
          <w:rFonts w:hint="eastAsia"/>
        </w:rPr>
        <w:t>的患者。透過早期風險分層、適時治療升級與持續追蹤，可在疾病惡化前介入，達到更好的疾病控制。</w:t>
      </w:r>
      <w:r>
        <w:rPr>
          <w:rFonts w:hint="eastAsia"/>
        </w:rPr>
        <w:t xml:space="preserve">Timely Escalation </w:t>
      </w:r>
      <w:r>
        <w:rPr>
          <w:rFonts w:hint="eastAsia"/>
        </w:rPr>
        <w:t>的核心不只是「加藥」，而是透過精準辨識適合三合一治療的患者，在正確的時間提供更完整的治療，以期降低急性惡化、維持肺功能並改善長期臨床結果。</w:t>
      </w:r>
    </w:p>
    <w:sectPr w:rsidR="008C5921" w:rsidRPr="008C5921" w:rsidSect="005A1B5E">
      <w:pgSz w:w="11906" w:h="16838"/>
      <w:pgMar w:top="1440" w:right="1080" w:bottom="1440" w:left="108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1B5E"/>
    <w:rsid w:val="004C515A"/>
    <w:rsid w:val="004F7733"/>
    <w:rsid w:val="005A1B5E"/>
    <w:rsid w:val="008C59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BE6C9"/>
  <w15:chartTrackingRefBased/>
  <w15:docId w15:val="{EE4BD1DA-83DC-4819-A5A9-2B940D961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5A1B5E"/>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A1B5E"/>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A1B5E"/>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5A1B5E"/>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5A1B5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A1B5E"/>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5A1B5E"/>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A1B5E"/>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5A1B5E"/>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5A1B5E"/>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5A1B5E"/>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5A1B5E"/>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5A1B5E"/>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5A1B5E"/>
    <w:rPr>
      <w:rFonts w:eastAsiaTheme="majorEastAsia" w:cstheme="majorBidi"/>
      <w:color w:val="0F4761" w:themeColor="accent1" w:themeShade="BF"/>
    </w:rPr>
  </w:style>
  <w:style w:type="character" w:customStyle="1" w:styleId="60">
    <w:name w:val="標題 6 字元"/>
    <w:basedOn w:val="a0"/>
    <w:link w:val="6"/>
    <w:uiPriority w:val="9"/>
    <w:semiHidden/>
    <w:rsid w:val="005A1B5E"/>
    <w:rPr>
      <w:rFonts w:eastAsiaTheme="majorEastAsia" w:cstheme="majorBidi"/>
      <w:color w:val="595959" w:themeColor="text1" w:themeTint="A6"/>
    </w:rPr>
  </w:style>
  <w:style w:type="character" w:customStyle="1" w:styleId="70">
    <w:name w:val="標題 7 字元"/>
    <w:basedOn w:val="a0"/>
    <w:link w:val="7"/>
    <w:uiPriority w:val="9"/>
    <w:semiHidden/>
    <w:rsid w:val="005A1B5E"/>
    <w:rPr>
      <w:rFonts w:eastAsiaTheme="majorEastAsia" w:cstheme="majorBidi"/>
      <w:color w:val="595959" w:themeColor="text1" w:themeTint="A6"/>
    </w:rPr>
  </w:style>
  <w:style w:type="character" w:customStyle="1" w:styleId="80">
    <w:name w:val="標題 8 字元"/>
    <w:basedOn w:val="a0"/>
    <w:link w:val="8"/>
    <w:uiPriority w:val="9"/>
    <w:semiHidden/>
    <w:rsid w:val="005A1B5E"/>
    <w:rPr>
      <w:rFonts w:eastAsiaTheme="majorEastAsia" w:cstheme="majorBidi"/>
      <w:color w:val="272727" w:themeColor="text1" w:themeTint="D8"/>
    </w:rPr>
  </w:style>
  <w:style w:type="character" w:customStyle="1" w:styleId="90">
    <w:name w:val="標題 9 字元"/>
    <w:basedOn w:val="a0"/>
    <w:link w:val="9"/>
    <w:uiPriority w:val="9"/>
    <w:semiHidden/>
    <w:rsid w:val="005A1B5E"/>
    <w:rPr>
      <w:rFonts w:eastAsiaTheme="majorEastAsia" w:cstheme="majorBidi"/>
      <w:color w:val="272727" w:themeColor="text1" w:themeTint="D8"/>
    </w:rPr>
  </w:style>
  <w:style w:type="paragraph" w:styleId="a3">
    <w:name w:val="Title"/>
    <w:basedOn w:val="a"/>
    <w:next w:val="a"/>
    <w:link w:val="a4"/>
    <w:uiPriority w:val="10"/>
    <w:qFormat/>
    <w:rsid w:val="005A1B5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5A1B5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A1B5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5A1B5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A1B5E"/>
    <w:pPr>
      <w:spacing w:before="160"/>
      <w:jc w:val="center"/>
    </w:pPr>
    <w:rPr>
      <w:i/>
      <w:iCs/>
      <w:color w:val="404040" w:themeColor="text1" w:themeTint="BF"/>
    </w:rPr>
  </w:style>
  <w:style w:type="character" w:customStyle="1" w:styleId="a8">
    <w:name w:val="引文 字元"/>
    <w:basedOn w:val="a0"/>
    <w:link w:val="a7"/>
    <w:uiPriority w:val="29"/>
    <w:rsid w:val="005A1B5E"/>
    <w:rPr>
      <w:i/>
      <w:iCs/>
      <w:color w:val="404040" w:themeColor="text1" w:themeTint="BF"/>
    </w:rPr>
  </w:style>
  <w:style w:type="paragraph" w:styleId="a9">
    <w:name w:val="List Paragraph"/>
    <w:basedOn w:val="a"/>
    <w:uiPriority w:val="34"/>
    <w:qFormat/>
    <w:rsid w:val="005A1B5E"/>
    <w:pPr>
      <w:ind w:left="720"/>
      <w:contextualSpacing/>
    </w:pPr>
  </w:style>
  <w:style w:type="character" w:styleId="aa">
    <w:name w:val="Intense Emphasis"/>
    <w:basedOn w:val="a0"/>
    <w:uiPriority w:val="21"/>
    <w:qFormat/>
    <w:rsid w:val="005A1B5E"/>
    <w:rPr>
      <w:i/>
      <w:iCs/>
      <w:color w:val="0F4761" w:themeColor="accent1" w:themeShade="BF"/>
    </w:rPr>
  </w:style>
  <w:style w:type="paragraph" w:styleId="ab">
    <w:name w:val="Intense Quote"/>
    <w:basedOn w:val="a"/>
    <w:next w:val="a"/>
    <w:link w:val="ac"/>
    <w:uiPriority w:val="30"/>
    <w:qFormat/>
    <w:rsid w:val="005A1B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5A1B5E"/>
    <w:rPr>
      <w:i/>
      <w:iCs/>
      <w:color w:val="0F4761" w:themeColor="accent1" w:themeShade="BF"/>
    </w:rPr>
  </w:style>
  <w:style w:type="character" w:styleId="ad">
    <w:name w:val="Intense Reference"/>
    <w:basedOn w:val="a0"/>
    <w:uiPriority w:val="32"/>
    <w:qFormat/>
    <w:rsid w:val="005A1B5E"/>
    <w:rPr>
      <w:b/>
      <w:bCs/>
      <w:smallCaps/>
      <w:color w:val="0F4761" w:themeColor="accent1" w:themeShade="BF"/>
      <w:spacing w:val="5"/>
    </w:rPr>
  </w:style>
  <w:style w:type="paragraph" w:customStyle="1" w:styleId="ae">
    <w:name w:val="表文"/>
    <w:basedOn w:val="a"/>
    <w:uiPriority w:val="99"/>
    <w:rsid w:val="008C5921"/>
    <w:pPr>
      <w:spacing w:after="0" w:line="240" w:lineRule="auto"/>
      <w:jc w:val="both"/>
    </w:pPr>
    <w:rPr>
      <w:rFonts w:ascii="Times New Roman" w:eastAsia="標楷體" w:hAnsi="Times New Roman" w:cs="Times New Roman"/>
      <w:kern w:val="0"/>
      <w:sz w:val="22"/>
      <w14:ligatures w14:val="none"/>
    </w:rPr>
  </w:style>
  <w:style w:type="paragraph" w:styleId="Web">
    <w:name w:val="Normal (Web)"/>
    <w:basedOn w:val="a"/>
    <w:uiPriority w:val="99"/>
    <w:unhideWhenUsed/>
    <w:rsid w:val="008C5921"/>
    <w:pPr>
      <w:widowControl/>
      <w:spacing w:before="100" w:beforeAutospacing="1" w:after="100" w:afterAutospacing="1" w:line="240" w:lineRule="auto"/>
    </w:pPr>
    <w:rPr>
      <w:rFonts w:ascii="新細明體" w:eastAsia="新細明體" w:hAnsi="新細明體" w:cs="新細明體"/>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df3522f-8c42-44b0-bea3-7f162a60ea50}" enabled="1" method="Standard" siteId="{63982aff-fb6c-4c22-973b-70e4acfb63e6}"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Pages>
  <Words>665</Words>
  <Characters>3793</Characters>
  <Application>Microsoft Office Word</Application>
  <DocSecurity>0</DocSecurity>
  <Lines>31</Lines>
  <Paragraphs>8</Paragraphs>
  <ScaleCrop>false</ScaleCrop>
  <Company>GlaxoSmithKline</Company>
  <LinksUpToDate>false</LinksUpToDate>
  <CharactersWithSpaces>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Irene Chen</dc:creator>
  <cp:keywords/>
  <dc:description/>
  <cp:lastModifiedBy>Tatiana Chou</cp:lastModifiedBy>
  <cp:revision>2</cp:revision>
  <dcterms:created xsi:type="dcterms:W3CDTF">2026-09-03T11:28:00Z</dcterms:created>
  <dcterms:modified xsi:type="dcterms:W3CDTF">2026-09-03T11:28:00Z</dcterms:modified>
</cp:coreProperties>
</file>