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04" w:type="dxa"/>
        <w:tblInd w:w="-1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8728"/>
      </w:tblGrid>
      <w:tr w:rsidR="00B7318D" w:rsidRPr="00B7318D" w14:paraId="3C2658C3" w14:textId="77777777" w:rsidTr="00BD0495">
        <w:trPr>
          <w:trHeight w:val="635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ADA3B4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before="121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7318D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28"/>
                <w:szCs w:val="28"/>
              </w:rPr>
              <w:t>演講者</w:t>
            </w:r>
          </w:p>
        </w:tc>
        <w:tc>
          <w:tcPr>
            <w:tcW w:w="8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6E14F3" w14:textId="1BF812CF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before="140"/>
              <w:ind w:left="102"/>
              <w:rPr>
                <w:rFonts w:ascii="Times New Roman" w:eastAsia="標楷體" w:hAnsi="Times New Roman" w:cs="Times New Roman"/>
                <w:b/>
                <w:bCs/>
                <w:color w:val="006699"/>
                <w:kern w:val="0"/>
                <w:sz w:val="28"/>
                <w:szCs w:val="24"/>
              </w:rPr>
            </w:pPr>
            <w:r w:rsidRPr="00B7318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Huang-Chih Chang (</w:t>
            </w:r>
            <w:proofErr w:type="gramStart"/>
            <w:r w:rsidRPr="00B7318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張晃智</w:t>
            </w:r>
            <w:proofErr w:type="gramEnd"/>
            <w:r w:rsidRPr="00B7318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  <w:r w:rsidR="00BD040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 xml:space="preserve"> </w:t>
            </w:r>
          </w:p>
        </w:tc>
      </w:tr>
      <w:tr w:rsidR="00B7318D" w:rsidRPr="00B7318D" w14:paraId="7D025B2C" w14:textId="77777777" w:rsidTr="00BD0495">
        <w:trPr>
          <w:trHeight w:val="2715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280A4E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7318D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28"/>
                <w:szCs w:val="28"/>
              </w:rPr>
              <w:t>學經歷</w:t>
            </w:r>
          </w:p>
        </w:tc>
        <w:tc>
          <w:tcPr>
            <w:tcW w:w="8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202787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7318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Professional Experience:</w:t>
            </w:r>
          </w:p>
          <w:p w14:paraId="1199540A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7318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Present</w:t>
            </w:r>
          </w:p>
          <w:p w14:paraId="4239CFFC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7318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Vice Director, Division of Pulmonary and Critical Care Medicine,</w:t>
            </w:r>
          </w:p>
          <w:p w14:paraId="3EECD3E8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7318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Kaohsiung Chang Gung Memorial Hospital, Kaohsiung, Taiwan</w:t>
            </w:r>
          </w:p>
          <w:p w14:paraId="1E8A5190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14:paraId="3B67B277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7318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Attending Physician, Thoracic Oncology Center,</w:t>
            </w:r>
          </w:p>
          <w:p w14:paraId="14365F11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7318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Kaohsiung Chang Gung Memorial Hospital, Kaohsiung, Taiwan</w:t>
            </w:r>
          </w:p>
          <w:p w14:paraId="04E9CEDE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14:paraId="18B1DD43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7318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Assistant Professor,</w:t>
            </w:r>
          </w:p>
          <w:p w14:paraId="7A82192B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7318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Chang Gung University, Taoyuan, Taiwan</w:t>
            </w:r>
          </w:p>
          <w:p w14:paraId="6C0C91E9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14:paraId="39468B42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7318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Former</w:t>
            </w:r>
          </w:p>
          <w:p w14:paraId="6259474E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7318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Fellowship, Division of Pulmonary and Critical Care Medicine,</w:t>
            </w:r>
          </w:p>
          <w:p w14:paraId="16115D7F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7318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Department of Internal Medicine, Kaohsiung Chang Gung Memorial Hospital, Kaohsiung, Taiwan</w:t>
            </w:r>
          </w:p>
          <w:p w14:paraId="333C82AA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14:paraId="336D9012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7318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Residency, Department of Internal Medicine,</w:t>
            </w:r>
          </w:p>
          <w:p w14:paraId="0D3CD3FD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7318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Kaohsiung Chang Gung Memorial Hospital, Kaohsiung, Taiwan</w:t>
            </w:r>
          </w:p>
          <w:p w14:paraId="719D5564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14:paraId="3BE1DE48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7318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Education:</w:t>
            </w:r>
          </w:p>
          <w:p w14:paraId="63193ADC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7318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Doctor of Medicine (MD)</w:t>
            </w:r>
          </w:p>
          <w:p w14:paraId="59F3E76E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7318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Faculty of Medicine, University of Buenos Aires, Argentina</w:t>
            </w:r>
          </w:p>
        </w:tc>
      </w:tr>
      <w:tr w:rsidR="00B7318D" w:rsidRPr="00B7318D" w14:paraId="187FD37E" w14:textId="77777777" w:rsidTr="00BD0495">
        <w:trPr>
          <w:trHeight w:hRule="exact" w:val="8380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709C9F" w14:textId="77777777" w:rsidR="00B7318D" w:rsidRPr="00B7318D" w:rsidRDefault="00B7318D" w:rsidP="00B7318D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7318D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28"/>
                <w:szCs w:val="28"/>
              </w:rPr>
              <w:lastRenderedPageBreak/>
              <w:t>摘要</w:t>
            </w:r>
          </w:p>
        </w:tc>
        <w:tc>
          <w:tcPr>
            <w:tcW w:w="8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8E4258" w14:textId="10CFC83C" w:rsidR="00BD040D" w:rsidRPr="000840CB" w:rsidRDefault="00BD040D" w:rsidP="00B7318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0840CB">
              <w:rPr>
                <w:rFonts w:ascii="Times New Roman" w:eastAsia="標楷體" w:hAnsi="Times New Roman" w:cs="Times New Roman" w:hint="eastAsia"/>
                <w:b/>
                <w:bCs/>
                <w:kern w:val="0"/>
                <w:szCs w:val="24"/>
              </w:rPr>
              <w:t>題目</w:t>
            </w:r>
            <w:r w:rsidRPr="000840CB">
              <w:rPr>
                <w:rFonts w:ascii="Times New Roman" w:eastAsia="標楷體" w:hAnsi="Times New Roman" w:cs="Times New Roman" w:hint="eastAsia"/>
                <w:b/>
                <w:bCs/>
                <w:kern w:val="0"/>
                <w:szCs w:val="24"/>
              </w:rPr>
              <w:t>:</w:t>
            </w:r>
          </w:p>
          <w:p w14:paraId="2135607F" w14:textId="7EC244CD" w:rsidR="00B7318D" w:rsidRPr="000840CB" w:rsidRDefault="00B7318D" w:rsidP="00B7318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0840CB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Current Challenges and Unmet Needs in Limited-Stage Small Cell Lung Cancer (LS-SCLC)</w:t>
            </w:r>
          </w:p>
          <w:p w14:paraId="17C3AEB9" w14:textId="77777777" w:rsidR="00B7318D" w:rsidRPr="00B7318D" w:rsidRDefault="00B7318D" w:rsidP="00B7318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4912A6BB" w14:textId="62A54ECC" w:rsidR="00B7318D" w:rsidRPr="00B7318D" w:rsidRDefault="00BD040D" w:rsidP="00B7318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1.</w:t>
            </w:r>
            <w:r w:rsidR="00B7318D" w:rsidRPr="00B7318D">
              <w:rPr>
                <w:rFonts w:ascii="Times New Roman" w:eastAsia="標楷體" w:hAnsi="Times New Roman" w:cs="Times New Roman"/>
                <w:kern w:val="0"/>
                <w:szCs w:val="24"/>
              </w:rPr>
              <w:t>Historical treatment outcomes and persistent high recurrence rates following standard concurrent chemoradiotherapy (CCRT).</w:t>
            </w:r>
          </w:p>
          <w:p w14:paraId="6B931E43" w14:textId="77777777" w:rsidR="00B7318D" w:rsidRPr="00B7318D" w:rsidRDefault="00B7318D" w:rsidP="00B7318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7318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 w:rsidRPr="00B7318D">
              <w:rPr>
                <w:rFonts w:ascii="Times New Roman" w:eastAsia="標楷體" w:hAnsi="Times New Roman" w:cs="Times New Roman"/>
                <w:kern w:val="0"/>
                <w:szCs w:val="24"/>
              </w:rPr>
              <w:t>Limitations of conventional systemic therapies in sustaining long-term disease control and progression-free survival (PFS).</w:t>
            </w:r>
          </w:p>
          <w:p w14:paraId="05FCD160" w14:textId="77777777" w:rsidR="00B7318D" w:rsidRPr="00B7318D" w:rsidRDefault="00B7318D" w:rsidP="00B7318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4EF90C0B" w14:textId="77777777" w:rsidR="00B7318D" w:rsidRPr="00B7318D" w:rsidRDefault="00B7318D" w:rsidP="00B7318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7318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2.</w:t>
            </w:r>
            <w:r w:rsidRPr="00B7318D">
              <w:rPr>
                <w:rFonts w:ascii="Times New Roman" w:eastAsia="標楷體" w:hAnsi="Times New Roman" w:cs="Times New Roman"/>
                <w:kern w:val="0"/>
                <w:szCs w:val="24"/>
              </w:rPr>
              <w:t>Paradigm Shift in Post-CCRT Consolidation Therapy</w:t>
            </w:r>
          </w:p>
          <w:p w14:paraId="434FD65E" w14:textId="77777777" w:rsidR="00B7318D" w:rsidRPr="00B7318D" w:rsidRDefault="00B7318D" w:rsidP="00B7318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68DF9BDA" w14:textId="77777777" w:rsidR="00B7318D" w:rsidRPr="00B7318D" w:rsidRDefault="00B7318D" w:rsidP="00B7318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7318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 w:rsidRPr="00B7318D">
              <w:rPr>
                <w:rFonts w:ascii="Times New Roman" w:eastAsia="標楷體" w:hAnsi="Times New Roman" w:cs="Times New Roman"/>
                <w:kern w:val="0"/>
                <w:szCs w:val="24"/>
              </w:rPr>
              <w:t>Evolving role of immune checkpoint inhibitors (ICIs) as consolidation therapy post-CCRT in LS-SCLC.</w:t>
            </w:r>
          </w:p>
          <w:p w14:paraId="656AF3E0" w14:textId="77777777" w:rsidR="00B7318D" w:rsidRPr="00B7318D" w:rsidRDefault="00B7318D" w:rsidP="00B7318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7318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 w:rsidRPr="00B7318D">
              <w:rPr>
                <w:rFonts w:ascii="Times New Roman" w:eastAsia="標楷體" w:hAnsi="Times New Roman" w:cs="Times New Roman"/>
                <w:kern w:val="0"/>
                <w:szCs w:val="24"/>
              </w:rPr>
              <w:t>In-depth analysis of key clinical trial evidence (e.g., ADRIATIC trial) evaluating survival outcomes, durable responses, and systemic disease control.</w:t>
            </w:r>
          </w:p>
          <w:p w14:paraId="531AD7FA" w14:textId="77777777" w:rsidR="00B7318D" w:rsidRPr="00B7318D" w:rsidRDefault="00B7318D" w:rsidP="00B7318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47DC7879" w14:textId="77777777" w:rsidR="00B7318D" w:rsidRPr="00B7318D" w:rsidRDefault="00B7318D" w:rsidP="00B7318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7318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3.</w:t>
            </w:r>
            <w:r w:rsidRPr="00B7318D">
              <w:rPr>
                <w:rFonts w:ascii="Times New Roman" w:eastAsia="標楷體" w:hAnsi="Times New Roman" w:cs="Times New Roman"/>
                <w:kern w:val="0"/>
                <w:szCs w:val="24"/>
              </w:rPr>
              <w:t>Safety Profile, Toxicity Management, and Adverse Event Mitigation</w:t>
            </w:r>
          </w:p>
          <w:p w14:paraId="70068DF3" w14:textId="77777777" w:rsidR="00B7318D" w:rsidRPr="00B7318D" w:rsidRDefault="00B7318D" w:rsidP="00B7318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468094DE" w14:textId="77777777" w:rsidR="00B7318D" w:rsidRPr="00B7318D" w:rsidRDefault="00B7318D" w:rsidP="00B7318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7318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 w:rsidRPr="00B7318D">
              <w:rPr>
                <w:rFonts w:ascii="Times New Roman" w:eastAsia="標楷體" w:hAnsi="Times New Roman" w:cs="Times New Roman"/>
                <w:kern w:val="0"/>
                <w:szCs w:val="24"/>
              </w:rPr>
              <w:t>Evaluating the safety and tolerability of consolidation immunotherapy after definitive CCRT.</w:t>
            </w:r>
          </w:p>
          <w:p w14:paraId="4DDBF093" w14:textId="77777777" w:rsidR="00B7318D" w:rsidRPr="00B7318D" w:rsidRDefault="00B7318D" w:rsidP="00B7318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7318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 w:rsidRPr="00B7318D">
              <w:rPr>
                <w:rFonts w:ascii="Times New Roman" w:eastAsia="標楷體" w:hAnsi="Times New Roman" w:cs="Times New Roman"/>
                <w:kern w:val="0"/>
                <w:szCs w:val="24"/>
              </w:rPr>
              <w:t>Practical considerations for identifying and managing immune-related adverse events (</w:t>
            </w:r>
            <w:proofErr w:type="spellStart"/>
            <w:r w:rsidRPr="00B7318D">
              <w:rPr>
                <w:rFonts w:ascii="Times New Roman" w:eastAsia="標楷體" w:hAnsi="Times New Roman" w:cs="Times New Roman"/>
                <w:kern w:val="0"/>
                <w:szCs w:val="24"/>
              </w:rPr>
              <w:t>irAEs</w:t>
            </w:r>
            <w:proofErr w:type="spellEnd"/>
            <w:r w:rsidRPr="00B7318D">
              <w:rPr>
                <w:rFonts w:ascii="Times New Roman" w:eastAsia="標楷體" w:hAnsi="Times New Roman" w:cs="Times New Roman"/>
                <w:kern w:val="0"/>
                <w:szCs w:val="24"/>
              </w:rPr>
              <w:t>) and radiation-induced pneumonitis in clinical practice.</w:t>
            </w:r>
          </w:p>
          <w:p w14:paraId="09A90EC6" w14:textId="77777777" w:rsidR="00B7318D" w:rsidRPr="00B7318D" w:rsidRDefault="00B7318D" w:rsidP="00B7318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35A86D77" w14:textId="77777777" w:rsidR="00B7318D" w:rsidRPr="00B7318D" w:rsidRDefault="00B7318D" w:rsidP="00B7318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7318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4.</w:t>
            </w:r>
            <w:r w:rsidRPr="00B7318D">
              <w:rPr>
                <w:rFonts w:ascii="Times New Roman" w:eastAsia="標楷體" w:hAnsi="Times New Roman" w:cs="Times New Roman"/>
                <w:kern w:val="0"/>
                <w:szCs w:val="24"/>
              </w:rPr>
              <w:t>Translating Trial Evidence to Clinical Decision-Making and Future Directions</w:t>
            </w:r>
          </w:p>
          <w:p w14:paraId="197C362A" w14:textId="77777777" w:rsidR="00B7318D" w:rsidRPr="00B7318D" w:rsidRDefault="00B7318D" w:rsidP="00B7318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4D36AB1F" w14:textId="77777777" w:rsidR="00B7318D" w:rsidRPr="00B7318D" w:rsidRDefault="00B7318D" w:rsidP="00B7318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7318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 w:rsidRPr="00B7318D">
              <w:rPr>
                <w:rFonts w:ascii="Times New Roman" w:eastAsia="標楷體" w:hAnsi="Times New Roman" w:cs="Times New Roman"/>
                <w:kern w:val="0"/>
                <w:szCs w:val="24"/>
              </w:rPr>
              <w:t>Patient selection criteria, optimal timing of treatment initiation, and multidisciplinary coordination in real-world practice.</w:t>
            </w:r>
          </w:p>
          <w:p w14:paraId="454F9123" w14:textId="77777777" w:rsidR="00B7318D" w:rsidRPr="00B7318D" w:rsidRDefault="00B7318D" w:rsidP="00B7318D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7318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 w:rsidRPr="00B7318D">
              <w:rPr>
                <w:rFonts w:ascii="Times New Roman" w:eastAsia="標楷體" w:hAnsi="Times New Roman" w:cs="Times New Roman"/>
                <w:kern w:val="0"/>
                <w:szCs w:val="24"/>
              </w:rPr>
              <w:t>Emerging therapeutic combinations, biomarker exploration, and novel strategies to further optimize post-CCRT management in LS-SCLC.</w:t>
            </w:r>
          </w:p>
        </w:tc>
      </w:tr>
    </w:tbl>
    <w:p w14:paraId="151512AF" w14:textId="2295857A" w:rsidR="001D070F" w:rsidRDefault="001D070F"/>
    <w:p w14:paraId="5D2E629A" w14:textId="57899126" w:rsidR="007C74CE" w:rsidRDefault="007C74CE"/>
    <w:p w14:paraId="53924B86" w14:textId="2E684306" w:rsidR="007C74CE" w:rsidRDefault="007C74CE"/>
    <w:p w14:paraId="70E013DE" w14:textId="5F6731EB" w:rsidR="007C74CE" w:rsidRDefault="007C74CE"/>
    <w:p w14:paraId="14F2F165" w14:textId="47236E2E" w:rsidR="007C74CE" w:rsidRDefault="007C74CE"/>
    <w:p w14:paraId="3546C748" w14:textId="7757F68F" w:rsidR="007C74CE" w:rsidRDefault="007C74CE"/>
    <w:p w14:paraId="049AD140" w14:textId="425A3D1F" w:rsidR="007C74CE" w:rsidRDefault="007C74CE"/>
    <w:p w14:paraId="1AE7A2EF" w14:textId="4362680A" w:rsidR="007C74CE" w:rsidRDefault="007C74CE"/>
    <w:p w14:paraId="313E30D5" w14:textId="39E4361E" w:rsidR="007C74CE" w:rsidRDefault="007C74CE"/>
    <w:p w14:paraId="02FCF578" w14:textId="3D61A488" w:rsidR="007C74CE" w:rsidRDefault="007C74CE"/>
    <w:p w14:paraId="65F1C821" w14:textId="079778DA" w:rsidR="007C74CE" w:rsidRDefault="007C74CE"/>
    <w:p w14:paraId="5903F505" w14:textId="07DBB901" w:rsidR="007C74CE" w:rsidRDefault="007C74CE"/>
    <w:p w14:paraId="13551C54" w14:textId="432C8880" w:rsidR="007C74CE" w:rsidRDefault="007C74CE"/>
    <w:p w14:paraId="1E7D6301" w14:textId="77777777" w:rsidR="007C74CE" w:rsidRDefault="007C74CE"/>
    <w:tbl>
      <w:tblPr>
        <w:tblW w:w="10004" w:type="dxa"/>
        <w:tblInd w:w="-1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8728"/>
      </w:tblGrid>
      <w:tr w:rsidR="007C74CE" w:rsidRPr="007C74CE" w14:paraId="1CF80F81" w14:textId="77777777" w:rsidTr="00BD0495">
        <w:trPr>
          <w:trHeight w:val="635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FF1AC9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before="121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28"/>
                <w:szCs w:val="28"/>
              </w:rPr>
              <w:lastRenderedPageBreak/>
              <w:t>演講者</w:t>
            </w:r>
          </w:p>
        </w:tc>
        <w:tc>
          <w:tcPr>
            <w:tcW w:w="8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B35CB4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before="140"/>
              <w:ind w:left="102"/>
              <w:rPr>
                <w:rFonts w:ascii="Times New Roman" w:eastAsia="標楷體" w:hAnsi="Times New Roman" w:cs="Times New Roman"/>
                <w:b/>
                <w:bCs/>
                <w:color w:val="006699"/>
                <w:kern w:val="0"/>
                <w:sz w:val="28"/>
                <w:szCs w:val="24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Yu-Feng Wei (</w:t>
            </w:r>
            <w:r w:rsidRPr="007C74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魏裕峰</w:t>
            </w: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</w:tc>
      </w:tr>
      <w:tr w:rsidR="007C74CE" w:rsidRPr="007C74CE" w14:paraId="55AE6856" w14:textId="77777777" w:rsidTr="00BD0495">
        <w:trPr>
          <w:trHeight w:val="2715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777E7C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28"/>
                <w:szCs w:val="28"/>
              </w:rPr>
              <w:t>學經歷</w:t>
            </w:r>
          </w:p>
        </w:tc>
        <w:tc>
          <w:tcPr>
            <w:tcW w:w="8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3C44D8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Professional Experience:</w:t>
            </w:r>
          </w:p>
          <w:p w14:paraId="0529FE98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Present</w:t>
            </w:r>
          </w:p>
          <w:p w14:paraId="3718C4D1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Director, Department of Internal Medicine,</w:t>
            </w:r>
          </w:p>
          <w:p w14:paraId="4C435739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E-Da Cancer Hospital, Kaohsiung, Taiwan</w:t>
            </w:r>
          </w:p>
          <w:p w14:paraId="4E76029E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14:paraId="204F4A3B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Convener, Lung Cancer Multidisciplinary Team,</w:t>
            </w:r>
          </w:p>
          <w:p w14:paraId="1CDF8351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E-Da Cancer Hospital, Kaohsiung, Taiwa</w:t>
            </w:r>
            <w:r w:rsidRPr="007C74CE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n</w:t>
            </w:r>
          </w:p>
          <w:p w14:paraId="45BD71A6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14:paraId="0FBDC220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Professor, School of Medicine,</w:t>
            </w:r>
          </w:p>
          <w:p w14:paraId="7DCD10C6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I-Shou University, Kaohsiung, Taiwan</w:t>
            </w:r>
          </w:p>
          <w:p w14:paraId="3F098340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14:paraId="6AFD09E3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Former</w:t>
            </w:r>
          </w:p>
          <w:p w14:paraId="087128ED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Director, Division of Pulmonary and Critical Care Medicine,</w:t>
            </w:r>
          </w:p>
          <w:p w14:paraId="783BCF75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E-Da Hospital, Kaohsiung, Taiwan</w:t>
            </w:r>
          </w:p>
          <w:p w14:paraId="2992A0A9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14:paraId="792A2F42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Chief Resident &amp; Clinical Fellow, Division of Pulmonary and Critical Care </w:t>
            </w:r>
            <w:proofErr w:type="spellStart"/>
            <w:proofErr w:type="gramStart"/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Medicine,National</w:t>
            </w:r>
            <w:proofErr w:type="spellEnd"/>
            <w:proofErr w:type="gramEnd"/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 Taiwan University Hospital, Taipei, Taiwan</w:t>
            </w:r>
          </w:p>
          <w:p w14:paraId="6263FC33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14:paraId="30CF08DE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Education:</w:t>
            </w:r>
          </w:p>
          <w:p w14:paraId="11940C69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Ph.D.</w:t>
            </w:r>
          </w:p>
          <w:p w14:paraId="77ACD0DD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Graduate Institute of Biotechnology, I-Shou University, Kaohsiung, Taiwan</w:t>
            </w:r>
          </w:p>
          <w:p w14:paraId="3BD59B62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14:paraId="0CB6C410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Doctor of Medicine (M.D.)</w:t>
            </w:r>
          </w:p>
          <w:p w14:paraId="5A8C5BE6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School of Medicine, China Medical University, Taichung, Taiwan</w:t>
            </w:r>
          </w:p>
        </w:tc>
      </w:tr>
      <w:tr w:rsidR="007C74CE" w:rsidRPr="007C74CE" w14:paraId="495F0988" w14:textId="77777777" w:rsidTr="00331BA1">
        <w:trPr>
          <w:trHeight w:hRule="exact" w:val="11487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E586A8" w14:textId="77777777" w:rsidR="007C74CE" w:rsidRPr="007C74CE" w:rsidRDefault="007C74CE" w:rsidP="007C74CE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28"/>
                <w:szCs w:val="28"/>
              </w:rPr>
              <w:lastRenderedPageBreak/>
              <w:t>摘要</w:t>
            </w:r>
          </w:p>
        </w:tc>
        <w:tc>
          <w:tcPr>
            <w:tcW w:w="8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52193F" w14:textId="26B0D5AC" w:rsidR="000840CB" w:rsidRPr="000840CB" w:rsidRDefault="000840CB" w:rsidP="007C74C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</w:rPr>
            </w:pPr>
            <w:r w:rsidRPr="000840CB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28"/>
                <w:szCs w:val="28"/>
              </w:rPr>
              <w:t>題目</w:t>
            </w:r>
            <w:r w:rsidRPr="000840CB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28"/>
                <w:szCs w:val="28"/>
              </w:rPr>
              <w:t>:</w:t>
            </w:r>
            <w:r w:rsidRPr="000840CB"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</w:rPr>
              <w:t xml:space="preserve">In-class Difference in COPD Triple </w:t>
            </w:r>
            <w:proofErr w:type="spellStart"/>
            <w:proofErr w:type="gramStart"/>
            <w:r w:rsidRPr="000840CB"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</w:rPr>
              <w:t>Therapy:Efficacy</w:t>
            </w:r>
            <w:proofErr w:type="spellEnd"/>
            <w:proofErr w:type="gramEnd"/>
            <w:r w:rsidRPr="000840CB"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</w:rPr>
              <w:t>, Safety, Patient Friendly</w:t>
            </w:r>
          </w:p>
          <w:p w14:paraId="6901E2E6" w14:textId="77777777" w:rsidR="000840CB" w:rsidRDefault="000840CB" w:rsidP="007C74C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14:paraId="666BA595" w14:textId="01985719" w:rsidR="007C74CE" w:rsidRPr="007C74CE" w:rsidRDefault="007C74CE" w:rsidP="007C74C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Chronic Obstructive Pulmonary Disease (COPD) is a common, progressive, and preventable inflammatory lung condition characterized by persistent airflow limitation. Long-term exposure to harmful particles or gases causes chronic inflammation in the airways and destruction of lung parenchyma, leading to narrowed airways and reduced lung elasticity.</w:t>
            </w:r>
          </w:p>
          <w:p w14:paraId="4ABC3B11" w14:textId="77777777" w:rsidR="007C74CE" w:rsidRPr="007C74CE" w:rsidRDefault="007C74CE" w:rsidP="007C74C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14:paraId="3232D145" w14:textId="77777777" w:rsidR="007C74CE" w:rsidRPr="007C74CE" w:rsidRDefault="007C74CE" w:rsidP="007C74C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Key Symptoms and Etiology</w:t>
            </w:r>
          </w:p>
          <w:p w14:paraId="62931297" w14:textId="77777777" w:rsidR="007C74CE" w:rsidRPr="007C74CE" w:rsidRDefault="007C74CE" w:rsidP="007C74C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The primary symptoms of COPD include chronic cough, sputum production, chest tightness, and progressive exertional dyspnea (shortness of breath). The leading risk factor is cigarette smoking (including second-hand smoke), along with occupational dust exposure, air pollution, and advanced age.</w:t>
            </w:r>
          </w:p>
          <w:p w14:paraId="3F3D127B" w14:textId="77777777" w:rsidR="007C74CE" w:rsidRPr="007C74CE" w:rsidRDefault="007C74CE" w:rsidP="007C74C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14:paraId="24FADA8B" w14:textId="77777777" w:rsidR="007C74CE" w:rsidRPr="007C74CE" w:rsidRDefault="007C74CE" w:rsidP="007C74C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Treatment and Management Strategy</w:t>
            </w:r>
          </w:p>
          <w:p w14:paraId="469EC283" w14:textId="77777777" w:rsidR="007C74CE" w:rsidRPr="007C74CE" w:rsidRDefault="007C74CE" w:rsidP="007C74C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While COPD is a non-curable condition, structured clinical management can effectively alleviate symptoms, reduce exacerbation risks, and improve health-related quality of life:</w:t>
            </w:r>
          </w:p>
          <w:p w14:paraId="53990863" w14:textId="77777777" w:rsidR="007C74CE" w:rsidRPr="007C74CE" w:rsidRDefault="007C74CE" w:rsidP="007C74C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14:paraId="30E38DEA" w14:textId="77777777" w:rsidR="007C74CE" w:rsidRPr="007C74CE" w:rsidRDefault="007C74CE" w:rsidP="007C74C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Smoking Cessation: The single most effective intervention to slow down lung function decline.</w:t>
            </w:r>
          </w:p>
          <w:p w14:paraId="24C81C95" w14:textId="77777777" w:rsidR="007C74CE" w:rsidRPr="007C74CE" w:rsidRDefault="007C74CE" w:rsidP="007C74C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14:paraId="2BFD3A0D" w14:textId="77777777" w:rsidR="007C74CE" w:rsidRPr="007C74CE" w:rsidRDefault="007C74CE" w:rsidP="007C74C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Inhaled Maintenance Therapy: Utilizing bronchodilators or combination therapies (including inhaled corticosteroids) to maintain airway patency and control airway inflammation.</w:t>
            </w:r>
          </w:p>
          <w:p w14:paraId="2CA8C7DC" w14:textId="77777777" w:rsidR="007C74CE" w:rsidRPr="007C74CE" w:rsidRDefault="007C74CE" w:rsidP="007C74C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14:paraId="6208132B" w14:textId="77777777" w:rsidR="007C74CE" w:rsidRPr="007C74CE" w:rsidRDefault="007C74CE" w:rsidP="007C74C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Pulmonary Rehabilitation &amp; Vaccination: Engaging in exercise training and receiving annual influenza and pneumococcal vaccines to prevent respiratory infections and exacerbations.</w:t>
            </w:r>
          </w:p>
          <w:p w14:paraId="6AD44710" w14:textId="77777777" w:rsidR="007C74CE" w:rsidRPr="007C74CE" w:rsidRDefault="007C74CE" w:rsidP="007C74C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14:paraId="6CB726F9" w14:textId="760F1410" w:rsidR="00331BA1" w:rsidRPr="007C74CE" w:rsidRDefault="007C74CE" w:rsidP="00331BA1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</w:pPr>
            <w:r w:rsidRPr="007C74C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Early diagnosis via spirometry and continuous adherence to prescribed inhaler therapies are fundamental to stabilizing lung function and preventing acute worsening.</w:t>
            </w:r>
          </w:p>
        </w:tc>
      </w:tr>
    </w:tbl>
    <w:p w14:paraId="49F093C0" w14:textId="77777777" w:rsidR="007C74CE" w:rsidRPr="007C74CE" w:rsidRDefault="007C74CE"/>
    <w:sectPr w:rsidR="007C74CE" w:rsidRPr="007C74C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0383F" w14:textId="77777777" w:rsidR="00BD040D" w:rsidRDefault="00BD040D" w:rsidP="00BD040D">
      <w:r>
        <w:separator/>
      </w:r>
    </w:p>
  </w:endnote>
  <w:endnote w:type="continuationSeparator" w:id="0">
    <w:p w14:paraId="6C75B5BD" w14:textId="77777777" w:rsidR="00BD040D" w:rsidRDefault="00BD040D" w:rsidP="00BD0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AD983" w14:textId="77777777" w:rsidR="00BD040D" w:rsidRDefault="00BD040D" w:rsidP="00BD040D">
      <w:r>
        <w:separator/>
      </w:r>
    </w:p>
  </w:footnote>
  <w:footnote w:type="continuationSeparator" w:id="0">
    <w:p w14:paraId="60BEBEBE" w14:textId="77777777" w:rsidR="00BD040D" w:rsidRDefault="00BD040D" w:rsidP="00BD04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18D"/>
    <w:rsid w:val="000840CB"/>
    <w:rsid w:val="001D070F"/>
    <w:rsid w:val="00331BA1"/>
    <w:rsid w:val="007C74CE"/>
    <w:rsid w:val="00B7318D"/>
    <w:rsid w:val="00BD0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3DF0F7"/>
  <w15:chartTrackingRefBased/>
  <w15:docId w15:val="{B4FE3CC3-F116-4421-8105-3ED20C468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04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D04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D04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D04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648</Words>
  <Characters>3694</Characters>
  <Application>Microsoft Office Word</Application>
  <DocSecurity>0</DocSecurity>
  <Lines>30</Lines>
  <Paragraphs>8</Paragraphs>
  <ScaleCrop>false</ScaleCrop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nwa kang</dc:creator>
  <cp:keywords/>
  <dc:description/>
  <cp:lastModifiedBy>nwa kang</cp:lastModifiedBy>
  <cp:revision>2</cp:revision>
  <dcterms:created xsi:type="dcterms:W3CDTF">2026-08-09T01:52:00Z</dcterms:created>
  <dcterms:modified xsi:type="dcterms:W3CDTF">2026-08-09T02:17:00Z</dcterms:modified>
</cp:coreProperties>
</file>